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tblBorders>
        <w:tblLayout w:type="fixed"/>
        <w:tblLook w:val="0000" w:firstRow="0" w:lastRow="0" w:firstColumn="0" w:lastColumn="0" w:noHBand="0" w:noVBand="0"/>
      </w:tblPr>
      <w:tblGrid>
        <w:gridCol w:w="3317"/>
        <w:gridCol w:w="3317"/>
      </w:tblGrid>
      <w:tr w:rsidR="00B12CCE">
        <w:trPr>
          <w:trHeight w:val="107"/>
        </w:trPr>
        <w:tc>
          <w:tcPr>
            <w:tcW w:w="3317" w:type="dxa"/>
          </w:tcPr>
          <w:p w:rsidR="00B12CCE" w:rsidRDefault="00B12CCE" w:rsidP="00B12CCE">
            <w:pPr>
              <w:pStyle w:val="Default"/>
              <w:rPr>
                <w:sz w:val="23"/>
                <w:szCs w:val="23"/>
              </w:rPr>
            </w:pPr>
            <w:r>
              <w:rPr>
                <w:b/>
                <w:bCs/>
                <w:sz w:val="23"/>
                <w:szCs w:val="23"/>
              </w:rPr>
              <w:t xml:space="preserve">To: Professor </w:t>
            </w:r>
            <w:proofErr w:type="spellStart"/>
            <w:r>
              <w:rPr>
                <w:b/>
                <w:bCs/>
                <w:sz w:val="23"/>
                <w:szCs w:val="23"/>
              </w:rPr>
              <w:t>Darish</w:t>
            </w:r>
            <w:proofErr w:type="spellEnd"/>
          </w:p>
        </w:tc>
        <w:tc>
          <w:tcPr>
            <w:tcW w:w="3317" w:type="dxa"/>
          </w:tcPr>
          <w:p w:rsidR="00B12CCE" w:rsidRDefault="00B12CCE" w:rsidP="005F1A55">
            <w:pPr>
              <w:pStyle w:val="Default"/>
              <w:rPr>
                <w:sz w:val="23"/>
                <w:szCs w:val="23"/>
              </w:rPr>
            </w:pPr>
            <w:r>
              <w:rPr>
                <w:b/>
                <w:bCs/>
                <w:sz w:val="23"/>
                <w:szCs w:val="23"/>
              </w:rPr>
              <w:t xml:space="preserve">Date: </w:t>
            </w:r>
            <w:r w:rsidR="00A45B40">
              <w:rPr>
                <w:b/>
                <w:bCs/>
                <w:sz w:val="23"/>
                <w:szCs w:val="23"/>
              </w:rPr>
              <w:t>3/25</w:t>
            </w:r>
            <w:r w:rsidR="000C4B2F">
              <w:rPr>
                <w:b/>
                <w:bCs/>
                <w:sz w:val="23"/>
                <w:szCs w:val="23"/>
              </w:rPr>
              <w:t>/2015</w:t>
            </w:r>
          </w:p>
        </w:tc>
      </w:tr>
      <w:tr w:rsidR="00B12CCE">
        <w:trPr>
          <w:trHeight w:val="107"/>
        </w:trPr>
        <w:tc>
          <w:tcPr>
            <w:tcW w:w="3317" w:type="dxa"/>
          </w:tcPr>
          <w:p w:rsidR="00B12CCE" w:rsidRDefault="00B12CCE" w:rsidP="00CB32A8">
            <w:pPr>
              <w:pStyle w:val="Default"/>
              <w:rPr>
                <w:sz w:val="23"/>
                <w:szCs w:val="23"/>
              </w:rPr>
            </w:pPr>
            <w:r>
              <w:rPr>
                <w:b/>
                <w:bCs/>
                <w:sz w:val="23"/>
                <w:szCs w:val="23"/>
              </w:rPr>
              <w:t xml:space="preserve">From: </w:t>
            </w:r>
            <w:r w:rsidR="00CB32A8">
              <w:rPr>
                <w:b/>
                <w:bCs/>
                <w:sz w:val="23"/>
                <w:szCs w:val="23"/>
              </w:rPr>
              <w:t>Trever Wagenhals</w:t>
            </w:r>
          </w:p>
        </w:tc>
        <w:tc>
          <w:tcPr>
            <w:tcW w:w="3317" w:type="dxa"/>
          </w:tcPr>
          <w:p w:rsidR="00B12CCE" w:rsidRDefault="00B12CCE" w:rsidP="00B12CCE">
            <w:pPr>
              <w:pStyle w:val="Default"/>
              <w:rPr>
                <w:sz w:val="23"/>
                <w:szCs w:val="23"/>
              </w:rPr>
            </w:pPr>
            <w:r>
              <w:rPr>
                <w:b/>
                <w:bCs/>
                <w:sz w:val="23"/>
                <w:szCs w:val="23"/>
              </w:rPr>
              <w:t xml:space="preserve">Course &amp; Section Number: </w:t>
            </w:r>
          </w:p>
        </w:tc>
      </w:tr>
      <w:tr w:rsidR="00B12CCE">
        <w:trPr>
          <w:trHeight w:val="109"/>
        </w:trPr>
        <w:tc>
          <w:tcPr>
            <w:tcW w:w="3317" w:type="dxa"/>
          </w:tcPr>
          <w:p w:rsidR="005F1A55" w:rsidRDefault="00B12CCE" w:rsidP="005F1A55">
            <w:pPr>
              <w:pStyle w:val="Default"/>
              <w:rPr>
                <w:sz w:val="23"/>
                <w:szCs w:val="23"/>
              </w:rPr>
            </w:pPr>
            <w:r>
              <w:rPr>
                <w:b/>
                <w:bCs/>
                <w:sz w:val="23"/>
                <w:szCs w:val="23"/>
              </w:rPr>
              <w:t xml:space="preserve">Subject: </w:t>
            </w:r>
            <w:r w:rsidR="00A45B40">
              <w:rPr>
                <w:b/>
                <w:bCs/>
                <w:sz w:val="23"/>
                <w:szCs w:val="23"/>
              </w:rPr>
              <w:t>Transient Response DC</w:t>
            </w:r>
          </w:p>
          <w:p w:rsidR="00B12CCE" w:rsidRDefault="00B12CCE" w:rsidP="0072110A">
            <w:pPr>
              <w:pStyle w:val="Default"/>
              <w:rPr>
                <w:sz w:val="23"/>
                <w:szCs w:val="23"/>
              </w:rPr>
            </w:pPr>
          </w:p>
        </w:tc>
        <w:tc>
          <w:tcPr>
            <w:tcW w:w="3317" w:type="dxa"/>
          </w:tcPr>
          <w:p w:rsidR="00B12CCE" w:rsidRDefault="00B12CCE">
            <w:pPr>
              <w:pStyle w:val="Default"/>
              <w:rPr>
                <w:b/>
                <w:bCs/>
                <w:sz w:val="23"/>
                <w:szCs w:val="23"/>
              </w:rPr>
            </w:pPr>
            <w:r>
              <w:rPr>
                <w:b/>
                <w:bCs/>
                <w:sz w:val="23"/>
                <w:szCs w:val="23"/>
              </w:rPr>
              <w:t xml:space="preserve">Partner(s): </w:t>
            </w:r>
          </w:p>
          <w:p w:rsidR="00B12CCE" w:rsidRDefault="00B12CCE">
            <w:pPr>
              <w:pStyle w:val="Default"/>
              <w:rPr>
                <w:sz w:val="23"/>
                <w:szCs w:val="23"/>
              </w:rPr>
            </w:pPr>
            <w:r>
              <w:rPr>
                <w:b/>
                <w:bCs/>
                <w:sz w:val="23"/>
                <w:szCs w:val="23"/>
              </w:rPr>
              <w:t>TA:</w:t>
            </w:r>
          </w:p>
        </w:tc>
      </w:tr>
    </w:tbl>
    <w:p w:rsidR="00B12CCE" w:rsidRDefault="00B12CCE"/>
    <w:p w:rsidR="00B12CCE" w:rsidRDefault="00B12CCE" w:rsidP="00B12CCE">
      <w:pPr>
        <w:pStyle w:val="Default"/>
        <w:rPr>
          <w:b/>
          <w:bCs/>
          <w:sz w:val="23"/>
          <w:szCs w:val="23"/>
        </w:rPr>
      </w:pPr>
      <w:r>
        <w:rPr>
          <w:b/>
          <w:bCs/>
          <w:sz w:val="23"/>
          <w:szCs w:val="23"/>
        </w:rPr>
        <w:t xml:space="preserve">SUMMARY </w:t>
      </w:r>
    </w:p>
    <w:p w:rsidR="00E3201B" w:rsidRPr="00E3201B" w:rsidRDefault="00E3201B" w:rsidP="00B12CCE">
      <w:pPr>
        <w:pStyle w:val="Default"/>
        <w:rPr>
          <w:bCs/>
          <w:sz w:val="23"/>
          <w:szCs w:val="23"/>
        </w:rPr>
      </w:pPr>
      <w:r>
        <w:rPr>
          <w:bCs/>
          <w:sz w:val="23"/>
          <w:szCs w:val="23"/>
        </w:rPr>
        <w:t>In this lab</w:t>
      </w:r>
      <w:r w:rsidR="00A45B40">
        <w:rPr>
          <w:bCs/>
          <w:sz w:val="23"/>
          <w:szCs w:val="23"/>
        </w:rPr>
        <w:t>, capacitance and inductance were</w:t>
      </w:r>
      <w:bookmarkStart w:id="0" w:name="_GoBack"/>
      <w:bookmarkEnd w:id="0"/>
      <w:r>
        <w:rPr>
          <w:bCs/>
          <w:sz w:val="23"/>
          <w:szCs w:val="23"/>
        </w:rPr>
        <w:t xml:space="preserve"> tested in a DC circuit to measure the transient response of the two. The voltage drop across a draining capacitance was tested and shown through the oscilloscope. Voltage drop and current across a RC circuit and RL circuit were tested to ensure that the calculations matched the measurements. Overall, all of the results fell within reasonable error of the calculations.</w:t>
      </w:r>
    </w:p>
    <w:p w:rsidR="00650239" w:rsidRPr="00650239" w:rsidRDefault="00650239" w:rsidP="00B12CCE">
      <w:pPr>
        <w:pStyle w:val="Default"/>
        <w:rPr>
          <w:bCs/>
          <w:sz w:val="23"/>
          <w:szCs w:val="23"/>
        </w:rPr>
      </w:pPr>
    </w:p>
    <w:p w:rsidR="0054174D" w:rsidRDefault="00B12CCE" w:rsidP="00B12CCE">
      <w:pPr>
        <w:pStyle w:val="Default"/>
        <w:rPr>
          <w:b/>
          <w:bCs/>
          <w:sz w:val="23"/>
          <w:szCs w:val="23"/>
        </w:rPr>
      </w:pPr>
      <w:r>
        <w:rPr>
          <w:b/>
          <w:bCs/>
          <w:sz w:val="23"/>
          <w:szCs w:val="23"/>
        </w:rPr>
        <w:t xml:space="preserve">EXPERIMENTAL APPROACH </w:t>
      </w:r>
    </w:p>
    <w:p w:rsidR="00B12CCE" w:rsidRDefault="00B12CCE" w:rsidP="00B12CCE">
      <w:pPr>
        <w:pStyle w:val="Default"/>
        <w:rPr>
          <w:sz w:val="23"/>
          <w:szCs w:val="23"/>
        </w:rPr>
      </w:pPr>
    </w:p>
    <w:p w:rsidR="00B12CCE" w:rsidRDefault="00B12CCE" w:rsidP="00B12CCE">
      <w:pPr>
        <w:pStyle w:val="Default"/>
        <w:rPr>
          <w:b/>
          <w:bCs/>
          <w:sz w:val="23"/>
          <w:szCs w:val="23"/>
        </w:rPr>
      </w:pPr>
      <w:r>
        <w:rPr>
          <w:b/>
          <w:bCs/>
          <w:sz w:val="23"/>
          <w:szCs w:val="23"/>
        </w:rPr>
        <w:t xml:space="preserve">Equipment and Materials </w:t>
      </w:r>
    </w:p>
    <w:p w:rsidR="009C419D" w:rsidRDefault="009C419D" w:rsidP="00B12CCE">
      <w:pPr>
        <w:pStyle w:val="Default"/>
        <w:rPr>
          <w:b/>
          <w:bCs/>
          <w:sz w:val="23"/>
          <w:szCs w:val="23"/>
        </w:rPr>
      </w:pPr>
    </w:p>
    <w:p w:rsidR="00B12CCE" w:rsidRDefault="0054174D" w:rsidP="00650239">
      <w:pPr>
        <w:pStyle w:val="Default"/>
        <w:numPr>
          <w:ilvl w:val="0"/>
          <w:numId w:val="2"/>
        </w:numPr>
        <w:rPr>
          <w:rFonts w:ascii="Arial" w:hAnsi="Arial" w:cs="Arial"/>
          <w:sz w:val="22"/>
          <w:szCs w:val="22"/>
        </w:rPr>
      </w:pPr>
      <w:r>
        <w:rPr>
          <w:rFonts w:ascii="Arial" w:hAnsi="Arial" w:cs="Arial"/>
          <w:sz w:val="22"/>
          <w:szCs w:val="22"/>
        </w:rPr>
        <w:t>Oscilloscope</w:t>
      </w:r>
    </w:p>
    <w:p w:rsidR="0054174D" w:rsidRDefault="0054174D" w:rsidP="00650239">
      <w:pPr>
        <w:pStyle w:val="Default"/>
        <w:numPr>
          <w:ilvl w:val="0"/>
          <w:numId w:val="2"/>
        </w:numPr>
        <w:rPr>
          <w:rFonts w:ascii="Arial" w:hAnsi="Arial" w:cs="Arial"/>
          <w:sz w:val="22"/>
          <w:szCs w:val="22"/>
        </w:rPr>
      </w:pPr>
      <w:r>
        <w:rPr>
          <w:rFonts w:ascii="Arial" w:hAnsi="Arial" w:cs="Arial"/>
          <w:sz w:val="22"/>
          <w:szCs w:val="22"/>
        </w:rPr>
        <w:t>Function Generator</w:t>
      </w:r>
    </w:p>
    <w:p w:rsidR="0054174D" w:rsidRDefault="005F1A55" w:rsidP="00650239">
      <w:pPr>
        <w:pStyle w:val="Default"/>
        <w:numPr>
          <w:ilvl w:val="0"/>
          <w:numId w:val="2"/>
        </w:numPr>
        <w:rPr>
          <w:rFonts w:ascii="Arial" w:hAnsi="Arial" w:cs="Arial"/>
          <w:sz w:val="22"/>
          <w:szCs w:val="22"/>
        </w:rPr>
      </w:pPr>
      <w:proofErr w:type="spellStart"/>
      <w:r>
        <w:rPr>
          <w:rFonts w:ascii="Arial" w:hAnsi="Arial" w:cs="Arial"/>
          <w:sz w:val="22"/>
          <w:szCs w:val="22"/>
        </w:rPr>
        <w:t>Protoboard</w:t>
      </w:r>
      <w:proofErr w:type="spellEnd"/>
    </w:p>
    <w:p w:rsidR="005F1A55" w:rsidRDefault="005F1A55" w:rsidP="00650239">
      <w:pPr>
        <w:pStyle w:val="Default"/>
        <w:numPr>
          <w:ilvl w:val="0"/>
          <w:numId w:val="2"/>
        </w:numPr>
        <w:rPr>
          <w:rFonts w:ascii="Arial" w:hAnsi="Arial" w:cs="Arial"/>
          <w:sz w:val="22"/>
          <w:szCs w:val="22"/>
        </w:rPr>
      </w:pPr>
      <w:r>
        <w:rPr>
          <w:rFonts w:ascii="Arial" w:hAnsi="Arial" w:cs="Arial"/>
          <w:sz w:val="22"/>
          <w:szCs w:val="22"/>
        </w:rPr>
        <w:t>Inductors, resistors, and capacitors</w:t>
      </w:r>
    </w:p>
    <w:p w:rsidR="005F1A55" w:rsidRDefault="005F1A55" w:rsidP="00650239">
      <w:pPr>
        <w:pStyle w:val="Default"/>
        <w:numPr>
          <w:ilvl w:val="0"/>
          <w:numId w:val="2"/>
        </w:numPr>
        <w:rPr>
          <w:rFonts w:ascii="Arial" w:hAnsi="Arial" w:cs="Arial"/>
          <w:sz w:val="22"/>
          <w:szCs w:val="22"/>
        </w:rPr>
      </w:pPr>
      <w:r>
        <w:rPr>
          <w:rFonts w:ascii="Arial" w:hAnsi="Arial" w:cs="Arial"/>
          <w:sz w:val="22"/>
          <w:szCs w:val="22"/>
        </w:rPr>
        <w:t>Banana clips, BNC cables, probes</w:t>
      </w:r>
    </w:p>
    <w:p w:rsidR="00E3201B" w:rsidRPr="00E3201B" w:rsidRDefault="00E3201B" w:rsidP="00E3201B">
      <w:pPr>
        <w:pStyle w:val="Default"/>
        <w:numPr>
          <w:ilvl w:val="0"/>
          <w:numId w:val="2"/>
        </w:numPr>
        <w:rPr>
          <w:rFonts w:ascii="Arial" w:hAnsi="Arial" w:cs="Arial"/>
          <w:sz w:val="22"/>
          <w:szCs w:val="22"/>
        </w:rPr>
      </w:pPr>
      <w:r>
        <w:rPr>
          <w:rFonts w:ascii="Arial" w:hAnsi="Arial" w:cs="Arial"/>
          <w:sz w:val="22"/>
          <w:szCs w:val="22"/>
        </w:rPr>
        <w:t>Power supply</w:t>
      </w:r>
    </w:p>
    <w:p w:rsidR="005F1A55" w:rsidRPr="00B12CCE" w:rsidRDefault="005F1A55" w:rsidP="005F1A55">
      <w:pPr>
        <w:pStyle w:val="Default"/>
        <w:ind w:left="360"/>
        <w:rPr>
          <w:rFonts w:ascii="Arial" w:hAnsi="Arial" w:cs="Arial"/>
          <w:sz w:val="22"/>
          <w:szCs w:val="22"/>
        </w:rPr>
      </w:pPr>
    </w:p>
    <w:p w:rsidR="00B12CCE" w:rsidRDefault="00B12CCE" w:rsidP="00B12CCE">
      <w:pPr>
        <w:pStyle w:val="Default"/>
        <w:rPr>
          <w:b/>
          <w:bCs/>
          <w:sz w:val="23"/>
          <w:szCs w:val="23"/>
        </w:rPr>
      </w:pPr>
      <w:r>
        <w:rPr>
          <w:b/>
          <w:bCs/>
          <w:sz w:val="23"/>
          <w:szCs w:val="23"/>
        </w:rPr>
        <w:t xml:space="preserve">Procedure </w:t>
      </w:r>
    </w:p>
    <w:p w:rsidR="00E3201B" w:rsidRDefault="00E3201B" w:rsidP="00B12CCE">
      <w:pPr>
        <w:pStyle w:val="Default"/>
        <w:rPr>
          <w:b/>
          <w:bCs/>
          <w:sz w:val="23"/>
          <w:szCs w:val="23"/>
        </w:rPr>
      </w:pPr>
    </w:p>
    <w:p w:rsidR="00E3201B" w:rsidRDefault="00844E62" w:rsidP="00B12CCE">
      <w:pPr>
        <w:pStyle w:val="Default"/>
        <w:rPr>
          <w:bCs/>
          <w:sz w:val="23"/>
          <w:szCs w:val="23"/>
        </w:rPr>
      </w:pPr>
      <w:r>
        <w:rPr>
          <w:bCs/>
          <w:sz w:val="23"/>
          <w:szCs w:val="23"/>
        </w:rPr>
        <w:t>This lab was broken down into 3 major parts. The first section involved a circuit with a steady state capacitor. With a switch in the system, the power supply could be removed from the circuit, causing the capacitor to leave steady state and begin to decay. Through the oscilloscope the voltage drop can be viewed and a visual comparable to the time constant decay can be shown.</w:t>
      </w:r>
    </w:p>
    <w:p w:rsidR="00844E62" w:rsidRDefault="00844E62" w:rsidP="00B12CCE">
      <w:pPr>
        <w:pStyle w:val="Default"/>
        <w:rPr>
          <w:bCs/>
          <w:sz w:val="23"/>
          <w:szCs w:val="23"/>
        </w:rPr>
      </w:pPr>
    </w:p>
    <w:p w:rsidR="00844E62" w:rsidRDefault="00844E62" w:rsidP="00B12CCE">
      <w:pPr>
        <w:pStyle w:val="Default"/>
        <w:rPr>
          <w:bCs/>
          <w:sz w:val="23"/>
          <w:szCs w:val="23"/>
        </w:rPr>
      </w:pPr>
      <w:r>
        <w:rPr>
          <w:bCs/>
          <w:sz w:val="23"/>
          <w:szCs w:val="23"/>
        </w:rPr>
        <w:t>The second section of the lab also had to do with the time constant, but instead involved using the mathematical equations to determine the time constant and compare that time constant to a square wave representation of the voltage change over time.</w:t>
      </w:r>
    </w:p>
    <w:p w:rsidR="00844E62" w:rsidRDefault="00844E62" w:rsidP="00B12CCE">
      <w:pPr>
        <w:pStyle w:val="Default"/>
        <w:rPr>
          <w:bCs/>
          <w:sz w:val="23"/>
          <w:szCs w:val="23"/>
        </w:rPr>
      </w:pPr>
    </w:p>
    <w:p w:rsidR="00844E62" w:rsidRPr="00844E62" w:rsidRDefault="00D25F5D" w:rsidP="00B12CCE">
      <w:pPr>
        <w:pStyle w:val="Default"/>
        <w:rPr>
          <w:bCs/>
          <w:sz w:val="23"/>
          <w:szCs w:val="23"/>
        </w:rPr>
      </w:pPr>
      <w:r>
        <w:rPr>
          <w:bCs/>
          <w:sz w:val="23"/>
          <w:szCs w:val="23"/>
        </w:rPr>
        <w:t>The last section of the lab involved an RL and determined whether the inductor acted as a short circuit when reaching steady state conditions.</w:t>
      </w:r>
    </w:p>
    <w:p w:rsidR="00B12CCE" w:rsidRDefault="00B12CCE" w:rsidP="00B12CCE">
      <w:pPr>
        <w:pStyle w:val="Default"/>
        <w:rPr>
          <w:sz w:val="23"/>
          <w:szCs w:val="23"/>
        </w:rPr>
      </w:pPr>
    </w:p>
    <w:p w:rsidR="00597A43" w:rsidRDefault="00B12CCE" w:rsidP="0072110A">
      <w:pPr>
        <w:rPr>
          <w:rFonts w:ascii="Times New Roman" w:hAnsi="Times New Roman" w:cs="Times New Roman"/>
          <w:b/>
          <w:bCs/>
          <w:sz w:val="23"/>
          <w:szCs w:val="23"/>
        </w:rPr>
      </w:pPr>
      <w:r w:rsidRPr="00B12CCE">
        <w:rPr>
          <w:rFonts w:ascii="Times New Roman" w:hAnsi="Times New Roman" w:cs="Times New Roman"/>
          <w:b/>
          <w:bCs/>
          <w:sz w:val="23"/>
          <w:szCs w:val="23"/>
        </w:rPr>
        <w:t>DISCUSSION OF RESULTS</w:t>
      </w:r>
    </w:p>
    <w:p w:rsidR="00043568" w:rsidRDefault="00043568" w:rsidP="0072110A">
      <w:pPr>
        <w:rPr>
          <w:rFonts w:ascii="Times New Roman" w:hAnsi="Times New Roman" w:cs="Times New Roman"/>
          <w:bCs/>
          <w:sz w:val="23"/>
          <w:szCs w:val="23"/>
        </w:rPr>
      </w:pPr>
      <w:r>
        <w:rPr>
          <w:rFonts w:ascii="Times New Roman" w:hAnsi="Times New Roman" w:cs="Times New Roman"/>
          <w:bCs/>
          <w:sz w:val="23"/>
          <w:szCs w:val="23"/>
        </w:rPr>
        <w:t>Based on the circuits shown in the designated figures, the calculations made based on the circuit, and the actual measured values, the capacitors acted exactly as anticipated, allowing the time constant to be obtained without question of error.</w:t>
      </w:r>
    </w:p>
    <w:p w:rsidR="00043568" w:rsidRDefault="00043568" w:rsidP="0072110A">
      <w:pPr>
        <w:rPr>
          <w:rFonts w:ascii="Times New Roman" w:hAnsi="Times New Roman" w:cs="Times New Roman"/>
          <w:bCs/>
          <w:sz w:val="23"/>
          <w:szCs w:val="23"/>
        </w:rPr>
      </w:pPr>
    </w:p>
    <w:p w:rsidR="00043568" w:rsidRDefault="00043568" w:rsidP="0072110A">
      <w:pPr>
        <w:rPr>
          <w:rFonts w:ascii="Times New Roman" w:hAnsi="Times New Roman" w:cs="Times New Roman"/>
          <w:bCs/>
          <w:sz w:val="23"/>
          <w:szCs w:val="23"/>
        </w:rPr>
      </w:pPr>
    </w:p>
    <w:p w:rsidR="00043568" w:rsidRDefault="00043568" w:rsidP="0072110A">
      <w:pPr>
        <w:rPr>
          <w:rFonts w:ascii="Times New Roman" w:hAnsi="Times New Roman" w:cs="Times New Roman"/>
          <w:bCs/>
          <w:sz w:val="23"/>
          <w:szCs w:val="23"/>
        </w:rPr>
      </w:pPr>
    </w:p>
    <w:p w:rsidR="00043568" w:rsidRDefault="00043568" w:rsidP="0072110A">
      <w:r>
        <w:object w:dxaOrig="1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pt;margin-top:19.9pt;width:210pt;height:111.75pt;z-index:251659264" o:allowincell="f">
            <v:imagedata r:id="rId6" o:title=""/>
            <w10:wrap type="topAndBottom"/>
          </v:shape>
          <o:OLEObject Type="Embed" ProgID="PBrush" ShapeID="_x0000_s1026" DrawAspect="Content" ObjectID="_1488661580" r:id="rId7"/>
        </w:object>
      </w:r>
      <w:r>
        <w:t>Figure 10-2/10-3</w:t>
      </w:r>
    </w:p>
    <w:p w:rsidR="00043568" w:rsidRPr="00043568" w:rsidRDefault="00043568" w:rsidP="0072110A">
      <w:r>
        <w:rPr>
          <w:noProof/>
        </w:rPr>
        <w:drawing>
          <wp:inline distT="0" distB="0" distL="0" distR="0" wp14:anchorId="1C36B70F" wp14:editId="7A198C0B">
            <wp:extent cx="2705223" cy="1445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138" cy="1450660"/>
                    </a:xfrm>
                    <a:prstGeom prst="rect">
                      <a:avLst/>
                    </a:prstGeom>
                    <a:noFill/>
                    <a:ln>
                      <a:noFill/>
                    </a:ln>
                  </pic:spPr>
                </pic:pic>
              </a:graphicData>
            </a:graphic>
          </wp:inline>
        </w:drawing>
      </w:r>
    </w:p>
    <w:p w:rsidR="00043568" w:rsidRPr="00043568" w:rsidRDefault="00043568" w:rsidP="0072110A">
      <w:pPr>
        <w:rPr>
          <w:rFonts w:ascii="Times New Roman" w:hAnsi="Times New Roman" w:cs="Times New Roman"/>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D25F5D" w:rsidTr="00D25F5D">
        <w:tblPrEx>
          <w:tblCellMar>
            <w:top w:w="0" w:type="dxa"/>
            <w:bottom w:w="0" w:type="dxa"/>
          </w:tblCellMar>
        </w:tblPrEx>
        <w:trPr>
          <w:trHeight w:val="305"/>
        </w:trPr>
        <w:tc>
          <w:tcPr>
            <w:tcW w:w="2214" w:type="dxa"/>
          </w:tcPr>
          <w:p w:rsidR="00D25F5D" w:rsidRDefault="00D25F5D" w:rsidP="00D25F5D"/>
        </w:tc>
        <w:tc>
          <w:tcPr>
            <w:tcW w:w="2214" w:type="dxa"/>
          </w:tcPr>
          <w:p w:rsidR="00D25F5D" w:rsidRDefault="00D25F5D" w:rsidP="00D25F5D"/>
        </w:tc>
        <w:tc>
          <w:tcPr>
            <w:tcW w:w="2214" w:type="dxa"/>
          </w:tcPr>
          <w:p w:rsidR="00D25F5D" w:rsidRDefault="00D25F5D" w:rsidP="00D25F5D">
            <w:r>
              <w:t>For Fig. 10-2</w:t>
            </w:r>
          </w:p>
        </w:tc>
        <w:tc>
          <w:tcPr>
            <w:tcW w:w="2214" w:type="dxa"/>
          </w:tcPr>
          <w:p w:rsidR="00D25F5D" w:rsidRDefault="00D25F5D" w:rsidP="00D25F5D">
            <w:r>
              <w:t>For Fig. 10-3</w:t>
            </w:r>
          </w:p>
        </w:tc>
      </w:tr>
      <w:tr w:rsidR="00D25F5D" w:rsidTr="00D25F5D">
        <w:tblPrEx>
          <w:tblCellMar>
            <w:top w:w="0" w:type="dxa"/>
            <w:bottom w:w="0" w:type="dxa"/>
          </w:tblCellMar>
        </w:tblPrEx>
        <w:trPr>
          <w:cantSplit/>
        </w:trPr>
        <w:tc>
          <w:tcPr>
            <w:tcW w:w="2214" w:type="dxa"/>
            <w:vMerge w:val="restart"/>
          </w:tcPr>
          <w:p w:rsidR="00D25F5D" w:rsidRDefault="00D25F5D" w:rsidP="00D25F5D">
            <w:r>
              <w:t>Voltages</w:t>
            </w:r>
          </w:p>
        </w:tc>
        <w:tc>
          <w:tcPr>
            <w:tcW w:w="2214" w:type="dxa"/>
          </w:tcPr>
          <w:p w:rsidR="00D25F5D" w:rsidRDefault="00D25F5D" w:rsidP="00D25F5D">
            <w:r>
              <w:t>Calculation</w:t>
            </w:r>
          </w:p>
        </w:tc>
        <w:tc>
          <w:tcPr>
            <w:tcW w:w="2214" w:type="dxa"/>
          </w:tcPr>
          <w:p w:rsidR="00D25F5D" w:rsidRDefault="00D25F5D" w:rsidP="00D25F5D">
            <w:r>
              <w:t>V</w:t>
            </w:r>
            <w:r>
              <w:rPr>
                <w:vertAlign w:val="subscript"/>
              </w:rPr>
              <w:t>1</w:t>
            </w:r>
            <w:r>
              <w:t xml:space="preserve"> = 0V</w:t>
            </w:r>
          </w:p>
          <w:p w:rsidR="00D25F5D" w:rsidRDefault="00D25F5D" w:rsidP="00D25F5D">
            <w:r>
              <w:t>V</w:t>
            </w:r>
            <w:r>
              <w:rPr>
                <w:vertAlign w:val="subscript"/>
              </w:rPr>
              <w:t>2</w:t>
            </w:r>
            <w:r>
              <w:t xml:space="preserve"> = 10V</w:t>
            </w:r>
          </w:p>
        </w:tc>
        <w:tc>
          <w:tcPr>
            <w:tcW w:w="2214" w:type="dxa"/>
          </w:tcPr>
          <w:p w:rsidR="00D25F5D" w:rsidRDefault="00D25F5D" w:rsidP="00D25F5D">
            <w:r>
              <w:t>V</w:t>
            </w:r>
            <w:r>
              <w:rPr>
                <w:vertAlign w:val="subscript"/>
              </w:rPr>
              <w:t>1</w:t>
            </w:r>
            <w:r>
              <w:t xml:space="preserve"> = 7.02V</w:t>
            </w:r>
          </w:p>
          <w:p w:rsidR="00D25F5D" w:rsidRDefault="00D25F5D" w:rsidP="00D25F5D">
            <w:r>
              <w:t>V</w:t>
            </w:r>
            <w:r>
              <w:rPr>
                <w:vertAlign w:val="subscript"/>
              </w:rPr>
              <w:t>2</w:t>
            </w:r>
            <w:r>
              <w:t xml:space="preserve"> = 2.98V</w:t>
            </w:r>
          </w:p>
          <w:p w:rsidR="00D25F5D" w:rsidRDefault="00D25F5D" w:rsidP="00D25F5D">
            <w:r>
              <w:t>V</w:t>
            </w:r>
            <w:r>
              <w:rPr>
                <w:vertAlign w:val="subscript"/>
              </w:rPr>
              <w:t>3</w:t>
            </w:r>
            <w:r>
              <w:t xml:space="preserve"> =2.98V</w:t>
            </w:r>
          </w:p>
        </w:tc>
      </w:tr>
      <w:tr w:rsidR="00D25F5D" w:rsidTr="00D25F5D">
        <w:tblPrEx>
          <w:tblCellMar>
            <w:top w:w="0" w:type="dxa"/>
            <w:bottom w:w="0" w:type="dxa"/>
          </w:tblCellMar>
        </w:tblPrEx>
        <w:trPr>
          <w:cantSplit/>
        </w:trPr>
        <w:tc>
          <w:tcPr>
            <w:tcW w:w="2214" w:type="dxa"/>
            <w:vMerge/>
          </w:tcPr>
          <w:p w:rsidR="00D25F5D" w:rsidRDefault="00D25F5D" w:rsidP="00D25F5D"/>
        </w:tc>
        <w:tc>
          <w:tcPr>
            <w:tcW w:w="2214" w:type="dxa"/>
          </w:tcPr>
          <w:p w:rsidR="00D25F5D" w:rsidRDefault="00D25F5D" w:rsidP="00D25F5D">
            <w:r>
              <w:t>Measurement</w:t>
            </w:r>
          </w:p>
        </w:tc>
        <w:tc>
          <w:tcPr>
            <w:tcW w:w="2214" w:type="dxa"/>
          </w:tcPr>
          <w:p w:rsidR="00D25F5D" w:rsidRDefault="00D25F5D" w:rsidP="00D25F5D">
            <w:r>
              <w:t>V</w:t>
            </w:r>
            <w:r>
              <w:rPr>
                <w:vertAlign w:val="subscript"/>
              </w:rPr>
              <w:t>1</w:t>
            </w:r>
            <w:r>
              <w:t xml:space="preserve"> = 0V</w:t>
            </w:r>
          </w:p>
          <w:p w:rsidR="00D25F5D" w:rsidRDefault="00D25F5D" w:rsidP="00D25F5D">
            <w:r>
              <w:t>V</w:t>
            </w:r>
            <w:r>
              <w:rPr>
                <w:vertAlign w:val="subscript"/>
              </w:rPr>
              <w:t>2</w:t>
            </w:r>
            <w:r>
              <w:t xml:space="preserve"> = 9.43V</w:t>
            </w:r>
          </w:p>
        </w:tc>
        <w:tc>
          <w:tcPr>
            <w:tcW w:w="2214" w:type="dxa"/>
          </w:tcPr>
          <w:p w:rsidR="00D25F5D" w:rsidRDefault="00D25F5D" w:rsidP="00D25F5D">
            <w:r>
              <w:t>V</w:t>
            </w:r>
            <w:r>
              <w:rPr>
                <w:vertAlign w:val="subscript"/>
              </w:rPr>
              <w:t>1</w:t>
            </w:r>
            <w:r>
              <w:t xml:space="preserve"> = 6.95V</w:t>
            </w:r>
          </w:p>
          <w:p w:rsidR="00D25F5D" w:rsidRDefault="00D25F5D" w:rsidP="00D25F5D">
            <w:r>
              <w:t>V</w:t>
            </w:r>
            <w:r>
              <w:rPr>
                <w:vertAlign w:val="subscript"/>
              </w:rPr>
              <w:t>2</w:t>
            </w:r>
            <w:r>
              <w:t xml:space="preserve"> = 3.01V</w:t>
            </w:r>
          </w:p>
          <w:p w:rsidR="00D25F5D" w:rsidRDefault="00D25F5D" w:rsidP="00D25F5D">
            <w:r>
              <w:t>V</w:t>
            </w:r>
            <w:r>
              <w:rPr>
                <w:vertAlign w:val="subscript"/>
              </w:rPr>
              <w:t>3</w:t>
            </w:r>
            <w:r>
              <w:t xml:space="preserve"> = 3.01V</w:t>
            </w:r>
          </w:p>
        </w:tc>
      </w:tr>
      <w:tr w:rsidR="00D25F5D" w:rsidTr="00D25F5D">
        <w:tblPrEx>
          <w:tblCellMar>
            <w:top w:w="0" w:type="dxa"/>
            <w:bottom w:w="0" w:type="dxa"/>
          </w:tblCellMar>
        </w:tblPrEx>
        <w:trPr>
          <w:cantSplit/>
        </w:trPr>
        <w:tc>
          <w:tcPr>
            <w:tcW w:w="2214" w:type="dxa"/>
            <w:vMerge w:val="restart"/>
          </w:tcPr>
          <w:p w:rsidR="00D25F5D" w:rsidRDefault="00D25F5D" w:rsidP="00D25F5D">
            <w:r>
              <w:t>Currents</w:t>
            </w:r>
          </w:p>
        </w:tc>
        <w:tc>
          <w:tcPr>
            <w:tcW w:w="2214" w:type="dxa"/>
          </w:tcPr>
          <w:p w:rsidR="00D25F5D" w:rsidRDefault="00D25F5D" w:rsidP="00D25F5D">
            <w:r>
              <w:t>Calculation</w:t>
            </w:r>
          </w:p>
        </w:tc>
        <w:tc>
          <w:tcPr>
            <w:tcW w:w="2214" w:type="dxa"/>
          </w:tcPr>
          <w:p w:rsidR="00D25F5D" w:rsidRDefault="00D25F5D" w:rsidP="00D25F5D">
            <w:r>
              <w:t>I = 0A</w:t>
            </w:r>
          </w:p>
        </w:tc>
        <w:tc>
          <w:tcPr>
            <w:tcW w:w="2214" w:type="dxa"/>
          </w:tcPr>
          <w:p w:rsidR="00D25F5D" w:rsidRDefault="00D25F5D" w:rsidP="00D25F5D">
            <w:r>
              <w:t>I = 5.8 mA</w:t>
            </w:r>
          </w:p>
          <w:p w:rsidR="00D25F5D" w:rsidRDefault="00D25F5D" w:rsidP="00D25F5D">
            <w:r>
              <w:t>I</w:t>
            </w:r>
            <w:r>
              <w:rPr>
                <w:vertAlign w:val="subscript"/>
              </w:rPr>
              <w:t>1</w:t>
            </w:r>
            <w:r>
              <w:t xml:space="preserve"> = 5.8 mA</w:t>
            </w:r>
          </w:p>
          <w:p w:rsidR="00D25F5D" w:rsidRDefault="00D25F5D" w:rsidP="00D25F5D">
            <w:r>
              <w:t>I</w:t>
            </w:r>
            <w:r>
              <w:rPr>
                <w:vertAlign w:val="subscript"/>
              </w:rPr>
              <w:t>2</w:t>
            </w:r>
            <w:r>
              <w:t xml:space="preserve"> =0 A</w:t>
            </w:r>
          </w:p>
        </w:tc>
      </w:tr>
      <w:tr w:rsidR="00D25F5D" w:rsidTr="00D25F5D">
        <w:tblPrEx>
          <w:tblCellMar>
            <w:top w:w="0" w:type="dxa"/>
            <w:bottom w:w="0" w:type="dxa"/>
          </w:tblCellMar>
        </w:tblPrEx>
        <w:trPr>
          <w:cantSplit/>
        </w:trPr>
        <w:tc>
          <w:tcPr>
            <w:tcW w:w="2214" w:type="dxa"/>
            <w:vMerge/>
          </w:tcPr>
          <w:p w:rsidR="00D25F5D" w:rsidRDefault="00D25F5D" w:rsidP="00D25F5D"/>
        </w:tc>
        <w:tc>
          <w:tcPr>
            <w:tcW w:w="2214" w:type="dxa"/>
          </w:tcPr>
          <w:p w:rsidR="00D25F5D" w:rsidRDefault="00D25F5D" w:rsidP="00D25F5D">
            <w:r>
              <w:t>Measurement</w:t>
            </w:r>
          </w:p>
        </w:tc>
        <w:tc>
          <w:tcPr>
            <w:tcW w:w="2214" w:type="dxa"/>
          </w:tcPr>
          <w:p w:rsidR="00D25F5D" w:rsidRDefault="00D25F5D" w:rsidP="00D25F5D">
            <w:r>
              <w:t>I = 0A</w:t>
            </w:r>
          </w:p>
        </w:tc>
        <w:tc>
          <w:tcPr>
            <w:tcW w:w="2214" w:type="dxa"/>
          </w:tcPr>
          <w:p w:rsidR="00D25F5D" w:rsidRDefault="00D25F5D" w:rsidP="00D25F5D">
            <w:r>
              <w:t>I = 5.7 mA</w:t>
            </w:r>
          </w:p>
          <w:p w:rsidR="00D25F5D" w:rsidRDefault="00D25F5D" w:rsidP="00D25F5D">
            <w:r>
              <w:t>I</w:t>
            </w:r>
            <w:r>
              <w:rPr>
                <w:vertAlign w:val="subscript"/>
              </w:rPr>
              <w:t>1</w:t>
            </w:r>
            <w:r>
              <w:t xml:space="preserve"> = 5.7mA</w:t>
            </w:r>
          </w:p>
          <w:p w:rsidR="00D25F5D" w:rsidRDefault="00D25F5D" w:rsidP="00D25F5D">
            <w:r>
              <w:t>I</w:t>
            </w:r>
            <w:r>
              <w:rPr>
                <w:vertAlign w:val="subscript"/>
              </w:rPr>
              <w:t>2</w:t>
            </w:r>
            <w:r>
              <w:t xml:space="preserve"> = 0 A</w:t>
            </w:r>
          </w:p>
        </w:tc>
      </w:tr>
    </w:tbl>
    <w:p w:rsidR="0054174D" w:rsidRDefault="0054174D" w:rsidP="0072110A">
      <w:pPr>
        <w:rPr>
          <w:rFonts w:ascii="Times New Roman" w:hAnsi="Times New Roman" w:cs="Times New Roman"/>
          <w:b/>
          <w:bCs/>
          <w:sz w:val="23"/>
          <w:szCs w:val="23"/>
        </w:rPr>
      </w:pPr>
    </w:p>
    <w:p w:rsidR="00043568" w:rsidRDefault="00043568" w:rsidP="0072110A">
      <w:pPr>
        <w:rPr>
          <w:rFonts w:ascii="Times New Roman" w:hAnsi="Times New Roman" w:cs="Times New Roman"/>
          <w:bCs/>
          <w:sz w:val="23"/>
          <w:szCs w:val="23"/>
        </w:rPr>
      </w:pPr>
      <w:r>
        <w:rPr>
          <w:rFonts w:ascii="Times New Roman" w:hAnsi="Times New Roman" w:cs="Times New Roman"/>
          <w:bCs/>
          <w:sz w:val="23"/>
          <w:szCs w:val="23"/>
        </w:rPr>
        <w:t>When the following circuits were tested and measured, the capacitor acted as expected, having no current flow through it because it acts like an open circuit.</w:t>
      </w:r>
    </w:p>
    <w:p w:rsidR="00043568" w:rsidRDefault="00043568" w:rsidP="0072110A">
      <w:pPr>
        <w:rPr>
          <w:rFonts w:ascii="Times New Roman" w:hAnsi="Times New Roman" w:cs="Times New Roman"/>
          <w:b/>
          <w:bCs/>
          <w:sz w:val="23"/>
          <w:szCs w:val="23"/>
        </w:rPr>
      </w:pPr>
      <w:r>
        <w:rPr>
          <w:rFonts w:ascii="Times New Roman" w:hAnsi="Times New Roman" w:cs="Times New Roman"/>
          <w:b/>
          <w:bCs/>
          <w:noProof/>
          <w:sz w:val="23"/>
          <w:szCs w:val="23"/>
        </w:rPr>
        <w:object w:dxaOrig="1440" w:dyaOrig="1440">
          <v:shape id="_x0000_s1028" type="#_x0000_t75" style="position:absolute;margin-left:-.3pt;margin-top:41.9pt;width:168.75pt;height:81.75pt;z-index:251660288" o:allowincell="f">
            <v:imagedata r:id="rId9" o:title=""/>
            <w10:wrap type="topAndBottom"/>
          </v:shape>
          <o:OLEObject Type="Embed" ProgID="PBrush" ShapeID="_x0000_s1028" DrawAspect="Content" ObjectID="_1488661581" r:id="rId10"/>
        </w:object>
      </w:r>
      <w:r>
        <w:rPr>
          <w:rFonts w:ascii="Times New Roman" w:hAnsi="Times New Roman" w:cs="Times New Roman"/>
          <w:b/>
          <w:bCs/>
          <w:noProof/>
          <w:sz w:val="23"/>
          <w:szCs w:val="23"/>
        </w:rPr>
        <w:object w:dxaOrig="1440" w:dyaOrig="1440">
          <v:shape id="_x0000_s1029" type="#_x0000_t75" style="position:absolute;margin-left:157.5pt;margin-top:26.65pt;width:310.65pt;height:94pt;z-index:251661312" o:allowincell="f">
            <v:imagedata r:id="rId11" o:title=""/>
            <w10:wrap type="topAndBottom"/>
          </v:shape>
          <o:OLEObject Type="Embed" ProgID="PBrush" ShapeID="_x0000_s1029" DrawAspect="Content" ObjectID="_1488661582" r:id="rId12"/>
        </w:object>
      </w:r>
    </w:p>
    <w:p w:rsidR="00043568" w:rsidRDefault="00043568" w:rsidP="0072110A">
      <w:pPr>
        <w:rPr>
          <w:rFonts w:ascii="Times New Roman" w:hAnsi="Times New Roman" w:cs="Times New Roman"/>
          <w:b/>
          <w:bCs/>
          <w:sz w:val="23"/>
          <w:szCs w:val="23"/>
        </w:rPr>
      </w:pPr>
    </w:p>
    <w:p w:rsidR="00043568" w:rsidRDefault="00043568" w:rsidP="0072110A">
      <w:pPr>
        <w:rPr>
          <w:rFonts w:ascii="Times New Roman" w:hAnsi="Times New Roman" w:cs="Times New Roman"/>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D25F5D" w:rsidTr="00D25F5D">
        <w:tblPrEx>
          <w:tblCellMar>
            <w:top w:w="0" w:type="dxa"/>
            <w:bottom w:w="0" w:type="dxa"/>
          </w:tblCellMar>
        </w:tblPrEx>
        <w:trPr>
          <w:trHeight w:val="305"/>
        </w:trPr>
        <w:tc>
          <w:tcPr>
            <w:tcW w:w="2214" w:type="dxa"/>
          </w:tcPr>
          <w:p w:rsidR="00D25F5D" w:rsidRDefault="00D25F5D" w:rsidP="00D25F5D"/>
        </w:tc>
        <w:tc>
          <w:tcPr>
            <w:tcW w:w="2214" w:type="dxa"/>
          </w:tcPr>
          <w:p w:rsidR="00D25F5D" w:rsidRDefault="00D25F5D" w:rsidP="00D25F5D"/>
        </w:tc>
        <w:tc>
          <w:tcPr>
            <w:tcW w:w="2214" w:type="dxa"/>
          </w:tcPr>
          <w:p w:rsidR="00D25F5D" w:rsidRDefault="00D25F5D" w:rsidP="00D25F5D">
            <w:r>
              <w:t>For Fig. 10-5</w:t>
            </w:r>
          </w:p>
        </w:tc>
        <w:tc>
          <w:tcPr>
            <w:tcW w:w="2214" w:type="dxa"/>
          </w:tcPr>
          <w:p w:rsidR="00D25F5D" w:rsidRDefault="00D25F5D" w:rsidP="00D25F5D">
            <w:r>
              <w:t>For Fig. 10-6</w:t>
            </w:r>
          </w:p>
        </w:tc>
      </w:tr>
      <w:tr w:rsidR="00D25F5D" w:rsidTr="00D25F5D">
        <w:tblPrEx>
          <w:tblCellMar>
            <w:top w:w="0" w:type="dxa"/>
            <w:bottom w:w="0" w:type="dxa"/>
          </w:tblCellMar>
        </w:tblPrEx>
        <w:trPr>
          <w:cantSplit/>
        </w:trPr>
        <w:tc>
          <w:tcPr>
            <w:tcW w:w="2214" w:type="dxa"/>
            <w:vMerge w:val="restart"/>
          </w:tcPr>
          <w:p w:rsidR="00D25F5D" w:rsidRDefault="00D25F5D" w:rsidP="00D25F5D">
            <w:r>
              <w:t>Voltages</w:t>
            </w:r>
          </w:p>
        </w:tc>
        <w:tc>
          <w:tcPr>
            <w:tcW w:w="2214" w:type="dxa"/>
          </w:tcPr>
          <w:p w:rsidR="00D25F5D" w:rsidRDefault="00D25F5D" w:rsidP="00D25F5D">
            <w:r>
              <w:t>Calculation</w:t>
            </w:r>
          </w:p>
        </w:tc>
        <w:tc>
          <w:tcPr>
            <w:tcW w:w="2214" w:type="dxa"/>
          </w:tcPr>
          <w:p w:rsidR="00D25F5D" w:rsidRDefault="00D25F5D" w:rsidP="00D25F5D">
            <w:r>
              <w:t>V</w:t>
            </w:r>
            <w:r>
              <w:rPr>
                <w:vertAlign w:val="subscript"/>
              </w:rPr>
              <w:t>1</w:t>
            </w:r>
            <w:r>
              <w:t xml:space="preserve"> = 10V</w:t>
            </w:r>
          </w:p>
          <w:p w:rsidR="00D25F5D" w:rsidRDefault="00D25F5D" w:rsidP="00D25F5D">
            <w:r>
              <w:t>V</w:t>
            </w:r>
            <w:r>
              <w:rPr>
                <w:vertAlign w:val="subscript"/>
              </w:rPr>
              <w:t>2</w:t>
            </w:r>
            <w:r>
              <w:t xml:space="preserve"> = 0V</w:t>
            </w:r>
          </w:p>
        </w:tc>
        <w:tc>
          <w:tcPr>
            <w:tcW w:w="2214" w:type="dxa"/>
          </w:tcPr>
          <w:p w:rsidR="00D25F5D" w:rsidRDefault="00D25F5D" w:rsidP="00D25F5D">
            <w:r>
              <w:t>V</w:t>
            </w:r>
            <w:r>
              <w:rPr>
                <w:vertAlign w:val="subscript"/>
              </w:rPr>
              <w:t>1</w:t>
            </w:r>
            <w:r>
              <w:t xml:space="preserve"> =10V</w:t>
            </w:r>
          </w:p>
          <w:p w:rsidR="00D25F5D" w:rsidRDefault="00D25F5D" w:rsidP="00D25F5D">
            <w:r>
              <w:t>V</w:t>
            </w:r>
            <w:r>
              <w:rPr>
                <w:vertAlign w:val="subscript"/>
              </w:rPr>
              <w:t>2</w:t>
            </w:r>
            <w:r>
              <w:t xml:space="preserve"> =0V</w:t>
            </w:r>
          </w:p>
          <w:p w:rsidR="00D25F5D" w:rsidRDefault="00D25F5D" w:rsidP="00D25F5D">
            <w:r>
              <w:t>V</w:t>
            </w:r>
            <w:r>
              <w:rPr>
                <w:vertAlign w:val="subscript"/>
              </w:rPr>
              <w:t>3</w:t>
            </w:r>
            <w:r>
              <w:t xml:space="preserve"> =0V</w:t>
            </w:r>
          </w:p>
        </w:tc>
      </w:tr>
      <w:tr w:rsidR="00D25F5D" w:rsidTr="00D25F5D">
        <w:tblPrEx>
          <w:tblCellMar>
            <w:top w:w="0" w:type="dxa"/>
            <w:bottom w:w="0" w:type="dxa"/>
          </w:tblCellMar>
        </w:tblPrEx>
        <w:trPr>
          <w:cantSplit/>
        </w:trPr>
        <w:tc>
          <w:tcPr>
            <w:tcW w:w="2214" w:type="dxa"/>
            <w:vMerge/>
          </w:tcPr>
          <w:p w:rsidR="00D25F5D" w:rsidRDefault="00D25F5D" w:rsidP="00D25F5D"/>
        </w:tc>
        <w:tc>
          <w:tcPr>
            <w:tcW w:w="2214" w:type="dxa"/>
          </w:tcPr>
          <w:p w:rsidR="00D25F5D" w:rsidRDefault="00D25F5D" w:rsidP="00D25F5D">
            <w:r>
              <w:t>Measurement</w:t>
            </w:r>
          </w:p>
        </w:tc>
        <w:tc>
          <w:tcPr>
            <w:tcW w:w="2214" w:type="dxa"/>
          </w:tcPr>
          <w:p w:rsidR="00D25F5D" w:rsidRDefault="00D25F5D" w:rsidP="00D25F5D">
            <w:r>
              <w:t>V</w:t>
            </w:r>
            <w:r>
              <w:rPr>
                <w:vertAlign w:val="subscript"/>
              </w:rPr>
              <w:t>1</w:t>
            </w:r>
            <w:r>
              <w:t xml:space="preserve"> = 9.99V</w:t>
            </w:r>
          </w:p>
          <w:p w:rsidR="00D25F5D" w:rsidRDefault="00D25F5D" w:rsidP="00D25F5D">
            <w:r>
              <w:t>V</w:t>
            </w:r>
            <w:r>
              <w:rPr>
                <w:vertAlign w:val="subscript"/>
              </w:rPr>
              <w:t>2</w:t>
            </w:r>
            <w:r>
              <w:t xml:space="preserve"> = 0.3mV</w:t>
            </w:r>
          </w:p>
        </w:tc>
        <w:tc>
          <w:tcPr>
            <w:tcW w:w="2214" w:type="dxa"/>
          </w:tcPr>
          <w:p w:rsidR="00D25F5D" w:rsidRDefault="00D25F5D" w:rsidP="00D25F5D">
            <w:r>
              <w:t>V</w:t>
            </w:r>
            <w:r>
              <w:rPr>
                <w:vertAlign w:val="subscript"/>
              </w:rPr>
              <w:t>1</w:t>
            </w:r>
            <w:r>
              <w:t xml:space="preserve"> =10V</w:t>
            </w:r>
          </w:p>
          <w:p w:rsidR="00D25F5D" w:rsidRDefault="00D25F5D" w:rsidP="00D25F5D">
            <w:r>
              <w:t>V</w:t>
            </w:r>
            <w:r>
              <w:rPr>
                <w:vertAlign w:val="subscript"/>
              </w:rPr>
              <w:t>2</w:t>
            </w:r>
            <w:r>
              <w:t xml:space="preserve"> =0V</w:t>
            </w:r>
          </w:p>
          <w:p w:rsidR="00D25F5D" w:rsidRDefault="00D25F5D" w:rsidP="00D25F5D">
            <w:r>
              <w:t>V</w:t>
            </w:r>
            <w:r>
              <w:rPr>
                <w:vertAlign w:val="subscript"/>
              </w:rPr>
              <w:t>3</w:t>
            </w:r>
            <w:r>
              <w:t xml:space="preserve"> =0V</w:t>
            </w:r>
          </w:p>
        </w:tc>
      </w:tr>
      <w:tr w:rsidR="00D25F5D" w:rsidTr="00D25F5D">
        <w:tblPrEx>
          <w:tblCellMar>
            <w:top w:w="0" w:type="dxa"/>
            <w:bottom w:w="0" w:type="dxa"/>
          </w:tblCellMar>
        </w:tblPrEx>
        <w:trPr>
          <w:cantSplit/>
        </w:trPr>
        <w:tc>
          <w:tcPr>
            <w:tcW w:w="2214" w:type="dxa"/>
            <w:vMerge w:val="restart"/>
          </w:tcPr>
          <w:p w:rsidR="00D25F5D" w:rsidRDefault="00D25F5D" w:rsidP="00D25F5D">
            <w:r>
              <w:t>Currents</w:t>
            </w:r>
          </w:p>
        </w:tc>
        <w:tc>
          <w:tcPr>
            <w:tcW w:w="2214" w:type="dxa"/>
          </w:tcPr>
          <w:p w:rsidR="00D25F5D" w:rsidRDefault="00D25F5D" w:rsidP="00D25F5D">
            <w:r>
              <w:t>Calculation</w:t>
            </w:r>
          </w:p>
        </w:tc>
        <w:tc>
          <w:tcPr>
            <w:tcW w:w="2214" w:type="dxa"/>
          </w:tcPr>
          <w:p w:rsidR="00D25F5D" w:rsidRDefault="00D25F5D" w:rsidP="00D25F5D">
            <w:r>
              <w:t>I = 0.2mA</w:t>
            </w:r>
          </w:p>
        </w:tc>
        <w:tc>
          <w:tcPr>
            <w:tcW w:w="2214" w:type="dxa"/>
          </w:tcPr>
          <w:p w:rsidR="00D25F5D" w:rsidRDefault="00D25F5D" w:rsidP="00D25F5D">
            <w:r>
              <w:t>I =8.3mA</w:t>
            </w:r>
          </w:p>
          <w:p w:rsidR="00D25F5D" w:rsidRDefault="00D25F5D" w:rsidP="00D25F5D">
            <w:r>
              <w:t>I</w:t>
            </w:r>
            <w:r>
              <w:rPr>
                <w:vertAlign w:val="subscript"/>
              </w:rPr>
              <w:t>1</w:t>
            </w:r>
            <w:r>
              <w:t xml:space="preserve"> =0A</w:t>
            </w:r>
          </w:p>
          <w:p w:rsidR="00D25F5D" w:rsidRDefault="00D25F5D" w:rsidP="00D25F5D">
            <w:r>
              <w:t>I</w:t>
            </w:r>
            <w:r>
              <w:rPr>
                <w:vertAlign w:val="subscript"/>
              </w:rPr>
              <w:t>2</w:t>
            </w:r>
            <w:r>
              <w:t xml:space="preserve"> =8.3mA</w:t>
            </w:r>
          </w:p>
        </w:tc>
      </w:tr>
      <w:tr w:rsidR="00D25F5D" w:rsidTr="00D25F5D">
        <w:tblPrEx>
          <w:tblCellMar>
            <w:top w:w="0" w:type="dxa"/>
            <w:bottom w:w="0" w:type="dxa"/>
          </w:tblCellMar>
        </w:tblPrEx>
        <w:trPr>
          <w:cantSplit/>
        </w:trPr>
        <w:tc>
          <w:tcPr>
            <w:tcW w:w="2214" w:type="dxa"/>
            <w:vMerge/>
          </w:tcPr>
          <w:p w:rsidR="00D25F5D" w:rsidRDefault="00D25F5D" w:rsidP="00D25F5D"/>
        </w:tc>
        <w:tc>
          <w:tcPr>
            <w:tcW w:w="2214" w:type="dxa"/>
          </w:tcPr>
          <w:p w:rsidR="00D25F5D" w:rsidRDefault="00D25F5D" w:rsidP="00D25F5D">
            <w:r>
              <w:t>Measurement</w:t>
            </w:r>
          </w:p>
        </w:tc>
        <w:tc>
          <w:tcPr>
            <w:tcW w:w="2214" w:type="dxa"/>
          </w:tcPr>
          <w:p w:rsidR="00D25F5D" w:rsidRDefault="00D25F5D" w:rsidP="00D25F5D">
            <w:r>
              <w:t>I = 0.21mA</w:t>
            </w:r>
          </w:p>
        </w:tc>
        <w:tc>
          <w:tcPr>
            <w:tcW w:w="2214" w:type="dxa"/>
          </w:tcPr>
          <w:p w:rsidR="00D25F5D" w:rsidRDefault="00D25F5D" w:rsidP="00D25F5D">
            <w:r>
              <w:t>I =8.2mA</w:t>
            </w:r>
          </w:p>
          <w:p w:rsidR="00D25F5D" w:rsidRDefault="00D25F5D" w:rsidP="00D25F5D">
            <w:r>
              <w:t>I</w:t>
            </w:r>
            <w:r>
              <w:rPr>
                <w:vertAlign w:val="subscript"/>
              </w:rPr>
              <w:t>1</w:t>
            </w:r>
            <w:r>
              <w:t xml:space="preserve"> =0A</w:t>
            </w:r>
          </w:p>
          <w:p w:rsidR="00D25F5D" w:rsidRDefault="00D25F5D" w:rsidP="00D25F5D">
            <w:r>
              <w:t>I</w:t>
            </w:r>
            <w:r>
              <w:rPr>
                <w:vertAlign w:val="subscript"/>
              </w:rPr>
              <w:t>2</w:t>
            </w:r>
            <w:r>
              <w:t xml:space="preserve"> =8.2mA</w:t>
            </w:r>
          </w:p>
        </w:tc>
      </w:tr>
    </w:tbl>
    <w:p w:rsidR="00D25F5D" w:rsidRDefault="00D25F5D" w:rsidP="0072110A">
      <w:pPr>
        <w:rPr>
          <w:rFonts w:ascii="Times New Roman" w:hAnsi="Times New Roman" w:cs="Times New Roman"/>
          <w:b/>
          <w:bCs/>
          <w:sz w:val="23"/>
          <w:szCs w:val="23"/>
        </w:rPr>
      </w:pPr>
    </w:p>
    <w:p w:rsidR="00043568" w:rsidRDefault="00043568" w:rsidP="00DF4AE5">
      <w:pPr>
        <w:outlineLvl w:val="0"/>
        <w:rPr>
          <w:b/>
          <w:i/>
          <w:sz w:val="28"/>
          <w:szCs w:val="28"/>
        </w:rPr>
      </w:pPr>
    </w:p>
    <w:p w:rsidR="00043568" w:rsidRDefault="00043568" w:rsidP="00DF4AE5">
      <w:pPr>
        <w:outlineLvl w:val="0"/>
        <w:rPr>
          <w:b/>
          <w:i/>
          <w:sz w:val="28"/>
          <w:szCs w:val="28"/>
        </w:rPr>
      </w:pPr>
    </w:p>
    <w:p w:rsidR="00DF4AE5" w:rsidRDefault="00DF4AE5" w:rsidP="00DF4AE5">
      <w:pPr>
        <w:outlineLvl w:val="0"/>
        <w:rPr>
          <w:b/>
          <w:i/>
          <w:sz w:val="28"/>
          <w:szCs w:val="28"/>
        </w:rPr>
      </w:pPr>
      <w:r>
        <w:rPr>
          <w:b/>
          <w:i/>
          <w:sz w:val="28"/>
          <w:szCs w:val="28"/>
        </w:rPr>
        <w:lastRenderedPageBreak/>
        <w:t>4. Questions</w:t>
      </w:r>
    </w:p>
    <w:p w:rsidR="00690137" w:rsidRDefault="00690137" w:rsidP="00690137">
      <w:pPr>
        <w:spacing w:after="0" w:line="240" w:lineRule="auto"/>
      </w:pPr>
      <w:r>
        <w:t>What happens to the energy stored in the capacitor?</w:t>
      </w:r>
    </w:p>
    <w:p w:rsidR="00690137" w:rsidRDefault="00690137" w:rsidP="00690137">
      <w:pPr>
        <w:spacing w:after="0" w:line="240" w:lineRule="auto"/>
      </w:pPr>
    </w:p>
    <w:p w:rsidR="00690137" w:rsidRDefault="00690137" w:rsidP="00690137">
      <w:pPr>
        <w:spacing w:after="0" w:line="240" w:lineRule="auto"/>
      </w:pPr>
      <w:r>
        <w:t>The energy begins to deplete from the capacitor until it approaches 0 at a specific time constant relative to the resistor in the circuit.</w:t>
      </w:r>
    </w:p>
    <w:p w:rsidR="00690137" w:rsidRDefault="00690137" w:rsidP="00690137">
      <w:pPr>
        <w:spacing w:after="0" w:line="240" w:lineRule="auto"/>
      </w:pPr>
    </w:p>
    <w:p w:rsidR="00690137" w:rsidRDefault="00690137" w:rsidP="00690137">
      <w:pPr>
        <w:outlineLvl w:val="0"/>
      </w:pPr>
      <w:r>
        <w:t>How did you get the time constant of the circuit from your display?</w:t>
      </w:r>
    </w:p>
    <w:p w:rsidR="00690137" w:rsidRDefault="00690137" w:rsidP="00DF4AE5">
      <w:pPr>
        <w:outlineLvl w:val="0"/>
        <w:rPr>
          <w:b/>
          <w:i/>
          <w:sz w:val="28"/>
          <w:szCs w:val="28"/>
        </w:rPr>
      </w:pPr>
      <w:r>
        <w:t xml:space="preserve">Based on the chart of the capacitor decreasing, the boxes can be counted until the wave </w:t>
      </w:r>
      <w:proofErr w:type="spellStart"/>
      <w:r>
        <w:t>flatlines</w:t>
      </w:r>
      <w:proofErr w:type="spellEnd"/>
      <w:r>
        <w:t>, and then the number of boxes can be multiplied by the time division to get the time constant.</w:t>
      </w:r>
    </w:p>
    <w:p w:rsidR="00690137" w:rsidRDefault="00690137" w:rsidP="00690137">
      <w:pPr>
        <w:spacing w:after="0" w:line="240" w:lineRule="auto"/>
      </w:pPr>
      <w:r>
        <w:t>How could you check that the capacitor in steady state is open circuit?</w:t>
      </w:r>
    </w:p>
    <w:p w:rsidR="00690137" w:rsidRDefault="00690137" w:rsidP="00690137">
      <w:pPr>
        <w:spacing w:after="0" w:line="240" w:lineRule="auto"/>
      </w:pPr>
      <w:r>
        <w:t xml:space="preserve">To check that the capacitor in steady state acts as an open circuit, place a </w:t>
      </w:r>
      <w:proofErr w:type="spellStart"/>
      <w:r>
        <w:t>multimeter</w:t>
      </w:r>
      <w:proofErr w:type="spellEnd"/>
      <w:r>
        <w:t xml:space="preserve"> between the circuit and the capacitor and measure the current. As the capacitor approaches steady state, the current will approach 0 A.</w:t>
      </w:r>
    </w:p>
    <w:p w:rsidR="00690137" w:rsidRDefault="00690137" w:rsidP="00690137">
      <w:pPr>
        <w:spacing w:after="0" w:line="240" w:lineRule="auto"/>
      </w:pPr>
    </w:p>
    <w:p w:rsidR="00690137" w:rsidRDefault="00690137" w:rsidP="00690137">
      <w:pPr>
        <w:spacing w:after="0" w:line="240" w:lineRule="auto"/>
      </w:pPr>
      <w:r>
        <w:t>Compare V</w:t>
      </w:r>
      <w:r>
        <w:rPr>
          <w:vertAlign w:val="subscript"/>
        </w:rPr>
        <w:t>2</w:t>
      </w:r>
      <w:r>
        <w:t xml:space="preserve"> and V</w:t>
      </w:r>
      <w:r>
        <w:rPr>
          <w:vertAlign w:val="subscript"/>
        </w:rPr>
        <w:t>3</w:t>
      </w:r>
      <w:r>
        <w:t>. Explain.</w:t>
      </w:r>
    </w:p>
    <w:p w:rsidR="00690137" w:rsidRDefault="00690137" w:rsidP="00690137">
      <w:pPr>
        <w:spacing w:after="0" w:line="240" w:lineRule="auto"/>
      </w:pPr>
    </w:p>
    <w:p w:rsidR="00690137" w:rsidRDefault="00690137" w:rsidP="00690137">
      <w:pPr>
        <w:spacing w:after="0" w:line="240" w:lineRule="auto"/>
      </w:pPr>
      <w:r>
        <w:t>V2 and V3 should have the exact same voltage drop, although there should be no current flow to V3. The voltage is because of KVL, while the current is because of the steady state of capacitors.</w:t>
      </w:r>
    </w:p>
    <w:p w:rsidR="00690137" w:rsidRDefault="00690137" w:rsidP="00690137">
      <w:pPr>
        <w:spacing w:after="0" w:line="240" w:lineRule="auto"/>
      </w:pPr>
    </w:p>
    <w:p w:rsidR="00690137" w:rsidRDefault="00690137" w:rsidP="00690137">
      <w:pPr>
        <w:spacing w:after="0" w:line="240" w:lineRule="auto"/>
      </w:pPr>
      <w:r>
        <w:t>How could you check that the inductor in steady state is a short circuit?</w:t>
      </w:r>
    </w:p>
    <w:p w:rsidR="00690137" w:rsidRDefault="00690137" w:rsidP="00690137">
      <w:pPr>
        <w:spacing w:after="0" w:line="240" w:lineRule="auto"/>
      </w:pPr>
    </w:p>
    <w:p w:rsidR="00690137" w:rsidRDefault="00A45B40" w:rsidP="00690137">
      <w:pPr>
        <w:spacing w:after="0" w:line="240" w:lineRule="auto"/>
      </w:pPr>
      <w:r>
        <w:t>If an inductor is in steady state, the total current from the rest of the circuit will flow through it. So, even if an inductor is in parallel with something else, the current will flow to the inductor. There will also be no voltage drop across it.</w:t>
      </w:r>
    </w:p>
    <w:p w:rsidR="00690137" w:rsidRDefault="00690137" w:rsidP="00690137">
      <w:pPr>
        <w:spacing w:after="0" w:line="240" w:lineRule="auto"/>
      </w:pPr>
    </w:p>
    <w:p w:rsidR="00A45B40" w:rsidRDefault="00690137" w:rsidP="00A45B40">
      <w:pPr>
        <w:spacing w:after="0" w:line="240" w:lineRule="auto"/>
      </w:pPr>
      <w:proofErr w:type="gramStart"/>
      <w:r>
        <w:t>Compare  I</w:t>
      </w:r>
      <w:r>
        <w:rPr>
          <w:vertAlign w:val="subscript"/>
        </w:rPr>
        <w:t>1</w:t>
      </w:r>
      <w:proofErr w:type="gramEnd"/>
      <w:r>
        <w:rPr>
          <w:vertAlign w:val="subscript"/>
        </w:rPr>
        <w:t xml:space="preserve"> </w:t>
      </w:r>
      <w:r>
        <w:t>and</w:t>
      </w:r>
      <w:r>
        <w:rPr>
          <w:vertAlign w:val="subscript"/>
        </w:rPr>
        <w:t xml:space="preserve"> </w:t>
      </w:r>
      <w:r>
        <w:t xml:space="preserve"> I</w:t>
      </w:r>
      <w:r>
        <w:rPr>
          <w:vertAlign w:val="subscript"/>
        </w:rPr>
        <w:t>2</w:t>
      </w:r>
      <w:r w:rsidR="00A45B40">
        <w:t xml:space="preserve"> Explain.</w:t>
      </w:r>
    </w:p>
    <w:p w:rsidR="00A45B40" w:rsidRDefault="00A45B40" w:rsidP="00A45B40">
      <w:pPr>
        <w:spacing w:after="0" w:line="240" w:lineRule="auto"/>
      </w:pPr>
    </w:p>
    <w:p w:rsidR="00690137" w:rsidRPr="00A45B40" w:rsidRDefault="00A45B40" w:rsidP="00A45B40">
      <w:pPr>
        <w:spacing w:after="0" w:line="240" w:lineRule="auto"/>
      </w:pPr>
      <w:r>
        <w:t>\ I1 will have no current actually flow through it because the inductor will act as a short and allow all of the current to pass through it instead.</w:t>
      </w:r>
    </w:p>
    <w:p w:rsidR="00690137" w:rsidRDefault="00690137" w:rsidP="00DF4AE5">
      <w:pPr>
        <w:outlineLvl w:val="0"/>
        <w:rPr>
          <w:b/>
          <w:i/>
          <w:sz w:val="28"/>
          <w:szCs w:val="28"/>
        </w:rPr>
      </w:pPr>
    </w:p>
    <w:p w:rsidR="00690137" w:rsidRDefault="00690137" w:rsidP="00DF4AE5">
      <w:pPr>
        <w:outlineLvl w:val="0"/>
        <w:rPr>
          <w:b/>
          <w:i/>
          <w:sz w:val="28"/>
          <w:szCs w:val="28"/>
        </w:rPr>
      </w:pPr>
    </w:p>
    <w:p w:rsidR="00690137" w:rsidRDefault="00690137" w:rsidP="00DF4AE5">
      <w:pPr>
        <w:outlineLvl w:val="0"/>
        <w:rPr>
          <w:b/>
          <w:i/>
          <w:sz w:val="28"/>
          <w:szCs w:val="28"/>
        </w:rPr>
      </w:pPr>
    </w:p>
    <w:p w:rsidR="00690137" w:rsidRDefault="00690137" w:rsidP="00DF4AE5">
      <w:pPr>
        <w:outlineLvl w:val="0"/>
        <w:rPr>
          <w:b/>
          <w:i/>
          <w:sz w:val="28"/>
          <w:szCs w:val="28"/>
        </w:rPr>
      </w:pPr>
    </w:p>
    <w:p w:rsidR="00690137" w:rsidRDefault="00690137" w:rsidP="00DF4AE5">
      <w:pPr>
        <w:outlineLvl w:val="0"/>
        <w:rPr>
          <w:b/>
          <w:i/>
          <w:sz w:val="28"/>
          <w:szCs w:val="28"/>
        </w:rPr>
      </w:pPr>
    </w:p>
    <w:p w:rsidR="00690137" w:rsidRDefault="00690137" w:rsidP="00DF4AE5">
      <w:pPr>
        <w:outlineLvl w:val="0"/>
        <w:rPr>
          <w:b/>
          <w:i/>
          <w:sz w:val="28"/>
          <w:szCs w:val="28"/>
        </w:rPr>
      </w:pPr>
    </w:p>
    <w:p w:rsidR="00690137" w:rsidRDefault="00690137" w:rsidP="00DF4AE5">
      <w:pPr>
        <w:outlineLvl w:val="0"/>
        <w:rPr>
          <w:b/>
          <w:i/>
          <w:sz w:val="28"/>
          <w:szCs w:val="28"/>
        </w:rPr>
      </w:pPr>
      <w:r w:rsidRPr="00690137">
        <w:rPr>
          <w:b/>
          <w:i/>
          <w:noProof/>
          <w:sz w:val="28"/>
          <w:szCs w:val="28"/>
        </w:rPr>
        <w:lastRenderedPageBreak/>
        <w:drawing>
          <wp:inline distT="0" distB="0" distL="0" distR="0" wp14:anchorId="625AF6EE" wp14:editId="56C00464">
            <wp:extent cx="4759170" cy="2676525"/>
            <wp:effectExtent l="0" t="0" r="3810" b="0"/>
            <wp:docPr id="5" name="Picture 5" descr="C:\Users\Trever\AppData\Local\Packages\microsoft.windowscommunicationsapps_8wekyb3d8bbwe\LocalState\LiveComm\33c856be0e04d3b0\120712-0049\Att\20003df5\20150310_121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rever\AppData\Local\Packages\microsoft.windowscommunicationsapps_8wekyb3d8bbwe\LocalState\LiveComm\33c856be0e04d3b0\120712-0049\Att\20003df5\20150310_12120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1830" cy="2678021"/>
                    </a:xfrm>
                    <a:prstGeom prst="rect">
                      <a:avLst/>
                    </a:prstGeom>
                    <a:noFill/>
                    <a:ln>
                      <a:noFill/>
                    </a:ln>
                  </pic:spPr>
                </pic:pic>
              </a:graphicData>
            </a:graphic>
          </wp:inline>
        </w:drawing>
      </w:r>
    </w:p>
    <w:p w:rsidR="000C4B2F" w:rsidRDefault="00690137" w:rsidP="00043568">
      <w:pPr>
        <w:tabs>
          <w:tab w:val="num" w:pos="720"/>
        </w:tabs>
        <w:spacing w:after="0" w:line="240" w:lineRule="auto"/>
      </w:pPr>
      <w:r w:rsidRPr="00690137">
        <w:rPr>
          <w:noProof/>
        </w:rPr>
        <w:drawing>
          <wp:inline distT="0" distB="0" distL="0" distR="0">
            <wp:extent cx="4371975" cy="2458773"/>
            <wp:effectExtent l="0" t="0" r="0" b="0"/>
            <wp:docPr id="4" name="Picture 4" descr="C:\Users\Trever\AppData\Local\Packages\microsoft.windowscommunicationsapps_8wekyb3d8bbwe\LocalState\LiveComm\33c856be0e04d3b0\120712-0049\Att\20003df5\20150310_12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rever\AppData\Local\Packages\microsoft.windowscommunicationsapps_8wekyb3d8bbwe\LocalState\LiveComm\33c856be0e04d3b0\120712-0049\Att\20003df5\20150310_12384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8270" cy="2462313"/>
                    </a:xfrm>
                    <a:prstGeom prst="rect">
                      <a:avLst/>
                    </a:prstGeom>
                    <a:noFill/>
                    <a:ln>
                      <a:noFill/>
                    </a:ln>
                  </pic:spPr>
                </pic:pic>
              </a:graphicData>
            </a:graphic>
          </wp:inline>
        </w:drawing>
      </w:r>
    </w:p>
    <w:p w:rsidR="00043568" w:rsidRDefault="00690137" w:rsidP="00043568">
      <w:pPr>
        <w:tabs>
          <w:tab w:val="num" w:pos="720"/>
        </w:tabs>
        <w:spacing w:after="0" w:line="240" w:lineRule="auto"/>
      </w:pPr>
      <w:r w:rsidRPr="00043568">
        <w:rPr>
          <w:noProof/>
        </w:rPr>
        <w:drawing>
          <wp:inline distT="0" distB="0" distL="0" distR="0" wp14:anchorId="0E6F9025" wp14:editId="68F99668">
            <wp:extent cx="4419600" cy="2485557"/>
            <wp:effectExtent l="0" t="0" r="0" b="0"/>
            <wp:docPr id="3" name="Picture 3" descr="C:\Users\Trever\AppData\Local\Packages\microsoft.windowscommunicationsapps_8wekyb3d8bbwe\LocalState\LiveComm\33c856be0e04d3b0\120712-0049\Att\20003df5\20150310_123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rever\AppData\Local\Packages\microsoft.windowscommunicationsapps_8wekyb3d8bbwe\LocalState\LiveComm\33c856be0e04d3b0\120712-0049\Att\20003df5\20150310_1239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2909" cy="2487418"/>
                    </a:xfrm>
                    <a:prstGeom prst="rect">
                      <a:avLst/>
                    </a:prstGeom>
                    <a:noFill/>
                    <a:ln>
                      <a:noFill/>
                    </a:ln>
                  </pic:spPr>
                </pic:pic>
              </a:graphicData>
            </a:graphic>
          </wp:inline>
        </w:drawing>
      </w:r>
    </w:p>
    <w:p w:rsidR="00043568" w:rsidRPr="000C4B2F" w:rsidRDefault="00043568" w:rsidP="00043568">
      <w:pPr>
        <w:tabs>
          <w:tab w:val="num" w:pos="720"/>
        </w:tabs>
        <w:spacing w:after="0" w:line="240" w:lineRule="auto"/>
      </w:pPr>
    </w:p>
    <w:sectPr w:rsidR="00043568" w:rsidRPr="000C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A2B6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43322403"/>
    <w:multiLevelType w:val="hybridMultilevel"/>
    <w:tmpl w:val="8640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1176C9"/>
    <w:multiLevelType w:val="hybridMultilevel"/>
    <w:tmpl w:val="BCB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28261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7720549A"/>
    <w:multiLevelType w:val="hybridMultilevel"/>
    <w:tmpl w:val="9D50B46C"/>
    <w:lvl w:ilvl="0" w:tplc="9F0C1ADC">
      <w:start w:val="1"/>
      <w:numFmt w:val="decimal"/>
      <w:lvlText w:val="4.%1"/>
      <w:lvlJc w:val="left"/>
      <w:pPr>
        <w:tabs>
          <w:tab w:val="num" w:pos="900"/>
        </w:tabs>
        <w:ind w:left="16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1E20E9"/>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CE"/>
    <w:rsid w:val="00043568"/>
    <w:rsid w:val="0005711A"/>
    <w:rsid w:val="000B453F"/>
    <w:rsid w:val="000C4B2F"/>
    <w:rsid w:val="000F6405"/>
    <w:rsid w:val="001D239D"/>
    <w:rsid w:val="0054174D"/>
    <w:rsid w:val="00597A43"/>
    <w:rsid w:val="005F1A55"/>
    <w:rsid w:val="00650239"/>
    <w:rsid w:val="00690137"/>
    <w:rsid w:val="007014B2"/>
    <w:rsid w:val="0072110A"/>
    <w:rsid w:val="0076221D"/>
    <w:rsid w:val="007E65F6"/>
    <w:rsid w:val="008167D8"/>
    <w:rsid w:val="00844E62"/>
    <w:rsid w:val="008652F1"/>
    <w:rsid w:val="008E3F57"/>
    <w:rsid w:val="00993B45"/>
    <w:rsid w:val="009940E6"/>
    <w:rsid w:val="009C419D"/>
    <w:rsid w:val="00A45B40"/>
    <w:rsid w:val="00A548D2"/>
    <w:rsid w:val="00B12CCE"/>
    <w:rsid w:val="00C20E51"/>
    <w:rsid w:val="00C51F66"/>
    <w:rsid w:val="00CB32A8"/>
    <w:rsid w:val="00D25F5D"/>
    <w:rsid w:val="00D81543"/>
    <w:rsid w:val="00DB4529"/>
    <w:rsid w:val="00DE3478"/>
    <w:rsid w:val="00DF4AE5"/>
    <w:rsid w:val="00E3201B"/>
    <w:rsid w:val="00EA7C31"/>
    <w:rsid w:val="00ED34BD"/>
    <w:rsid w:val="00EE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8EA368C-A875-4287-8AEE-6B72D4D7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CC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9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4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FDB5C-CBD7-461A-938B-CC37B2D7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Trever Wagenhals</cp:lastModifiedBy>
  <cp:revision>2</cp:revision>
  <cp:lastPrinted>2015-03-13T04:33:00Z</cp:lastPrinted>
  <dcterms:created xsi:type="dcterms:W3CDTF">2015-03-09T02:56:00Z</dcterms:created>
  <dcterms:modified xsi:type="dcterms:W3CDTF">2015-03-24T04:20:00Z</dcterms:modified>
</cp:coreProperties>
</file>