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</w:r>
      <w:r>
        <w:rPr>
          <w:rFonts w:ascii="Arial" w:hAnsi="Arial"/>
          <w:b/>
          <w:sz w:val="48"/>
        </w:rPr>
        <w:t>PRISMA</w:t>
      </w:r>
    </w:p>
    <w:p>
      <w:pPr>
        <w:jc w:val="center"/>
      </w:pPr>
      <w:r>
        <w:rPr>
          <w:b/>
          <w:sz w:val="32"/>
        </w:rPr>
        <w:t>PLANO DE MODELO DE NEGÓCIO E PROPOSTA DE VALOR</w:t>
      </w:r>
    </w:p>
    <w:p>
      <w:pPr>
        <w:jc w:val="center"/>
      </w:pPr>
      <w:r>
        <w:rPr>
          <w:sz w:val="24"/>
        </w:rPr>
        <w:br/>
        <w:t>Business Model Canvas e Value Proposition Canvas</w:t>
        <w:br/>
      </w:r>
    </w:p>
    <w:p>
      <w:r>
        <w:br/>
        <w:br/>
      </w:r>
    </w:p>
    <w:p>
      <w:pPr>
        <w:jc w:val="center"/>
      </w:pPr>
      <w:r>
        <w:rPr>
          <w:sz w:val="22"/>
        </w:rPr>
        <w:t>Integrantes:</w:t>
        <w:br/>
        <w:t>Guilherme Holz</w:t>
        <w:br/>
        <w:t>Rafael Rangel</w:t>
        <w:br/>
        <w:t>Eduardo Soares</w:t>
        <w:br/>
        <w:t>Eduardo Trevizani</w:t>
      </w:r>
    </w:p>
    <w:p>
      <w:pPr>
        <w:jc w:val="center"/>
      </w:pPr>
      <w:r>
        <w:rPr>
          <w:sz w:val="22"/>
        </w:rPr>
        <w:br/>
        <w:t>Análise e Desenvolvimento de Sistemas</w:t>
        <w:br/>
        <w:t>21 de setembro de 2026</w:t>
      </w:r>
    </w:p>
    <w:p>
      <w:r>
        <w:br w:type="page"/>
      </w:r>
    </w:p>
    <w:p>
      <w:pPr>
        <w:pStyle w:val="Heading1"/>
      </w:pPr>
      <w:r>
        <w:t>1. Apresentação do projeto</w:t>
      </w:r>
    </w:p>
    <w:p>
      <w:r>
        <w:t>O Prisma é uma plataforma LMS (Learning Management System) desenvolvida para organizar o ensino digital em um único ambiente. A proposta é permitir que instituições e cursos disponibilizem conteúdos, organizem módulos e aulas, acompanhem matrículas e progresso dos alunos e realizem avaliações. Além da parte técnica, o projeto é tratado nesta atividade como um produto SaaS, ou seja, uma solução disponibilizada por assinatura e acessada pela internet.</w:t>
      </w:r>
    </w:p>
    <w:p>
      <w:r>
        <w:t>O problema observado é que instituições de menor porte muitas vezes utilizam ferramentas separadas para materiais, comunicação, acompanhamento e avaliações. Isso aumenta o trabalho de organização e dificulta a visualização do progresso dos estudantes. O Prisma busca centralizar essas atividades em uma plataforma simples e com custo compatível com esse público.</w:t>
      </w:r>
    </w:p>
    <w:p>
      <w:pPr>
        <w:pStyle w:val="Heading1"/>
      </w:pPr>
      <w:r>
        <w:t>2. Segmentação e perfil dos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Segmento de clientes</w:t>
            </w:r>
          </w:p>
        </w:tc>
        <w:tc>
          <w:tcPr>
            <w:tcW w:type="dxa" w:w="2351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Necessidade identificada</w:t>
            </w:r>
          </w:p>
        </w:tc>
        <w:tc>
          <w:tcPr>
            <w:tcW w:type="dxa" w:w="2351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Perfil do comprador</w:t>
            </w:r>
          </w:p>
        </w:tc>
        <w:tc>
          <w:tcPr>
            <w:tcW w:type="dxa" w:w="2351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Prioridade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Escolas e instituições de ensino de pequeno e médio porte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Centralizar conteúdos, turmas, avaliações e acompanhamento dos alunos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Direção, coordenação ou administração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Alta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Cursos livres e profissionalizantes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Disponibilizar cursos online e acompanhar alunos sem depender de várias ferramentas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Proprietário, gestor ou coordenador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Média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Professores e pequenos produtores de cursos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Organizar conteúdos e acompanhar turmas em ambiente próprio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Professor ou responsável pelo curso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Baixa</w:t>
            </w:r>
          </w:p>
        </w:tc>
      </w:tr>
    </w:tbl>
    <w:p/>
    <w:p>
      <w:r>
        <w:t>O segmento prioritário será formado por escolas e instituições de ensino de pequeno e médio porte. Esse público foi escolhido porque possui necessidade recorrente de organização acadêmica, pode concentrar vários professores e alunos em uma única contratação e tende a perceber maior valor em uma solução centralizada. A contratação seria realizada principalmente pela direção, coordenação ou administração; professores e alunos seriam os usuários frequentes e poderiam influenciar a decisão a partir da experiência de uso.</w:t>
      </w:r>
    </w:p>
    <w:p>
      <w:pPr>
        <w:pStyle w:val="Heading1"/>
      </w:pPr>
      <w:r>
        <w:t>3. Perfil do Cliente - Value Proposition Canvas</w:t>
      </w:r>
    </w:p>
    <w:p>
      <w:pPr>
        <w:pStyle w:val="Heading2"/>
      </w:pPr>
      <w:r>
        <w:t>3.1 Tarefas, dores e ganhos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Tarefas do cliente</w:t>
            </w:r>
          </w:p>
        </w:tc>
        <w:tc>
          <w:tcPr>
            <w:tcW w:type="dxa" w:w="3135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Dores identificadas</w:t>
            </w:r>
          </w:p>
        </w:tc>
        <w:tc>
          <w:tcPr>
            <w:tcW w:type="dxa" w:w="3135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Ganhos desejados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Organizar cursos, módulos, aulas e materiais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Conteúdos espalhados em diferentes ferramentas e canais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Conteúdo centralizado e fácil de localizar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Acompanhar matrículas e evolução dos alunos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Dificuldade para saber quem está acompanhando e concluindo as atividades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Visão clara do progresso de cada aluno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Aplicar atividades e avaliações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Processos manuais ou pouco integrados para avaliações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Avaliações organizadas dentro do mesmo ambiente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Gerenciar o acesso de professores e alunos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Retrabalho no controle de usuários e permissões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Gestão mais simples de usuários e acesso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Oferecer uma experiência digital organizada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Plataformas complexas ou caras para instituições menores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Ambiente simples, profissional e adequado à realidade da instituição</w:t>
            </w:r>
          </w:p>
        </w:tc>
      </w:tr>
    </w:tbl>
    <w:p/>
    <w:p>
      <w:r>
        <w:t>As principais tarefas são funcionais, como organizar conteúdos, avaliações e usuários, mas também existem aspectos sociais e emocionais. A instituição busca transmitir organização e profissionalismo e, ao mesmo tempo, reduzir a preocupação da equipe com informações espalhadas ou difíceis de acompanhar.</w:t>
      </w:r>
    </w:p>
    <w:p>
      <w:r>
        <w:t>As dores selecionadas são relevantes porque afetam diretamente a rotina da instituição e podem gerar retrabalho, perda de informações e dificuldade de acompanhamento. Os ganhos priorizados estão relacionados à centralização, controle e facilidade de uso, pois são resultados que podem ser percebidos no dia a dia por gestores, professores e alunos.</w:t>
      </w:r>
    </w:p>
    <w:p>
      <w:pPr>
        <w:pStyle w:val="Heading1"/>
      </w:pPr>
      <w:r>
        <w:t>4. Mapa de Valor - Value Proposition Canvas</w:t>
      </w:r>
    </w:p>
    <w:p>
      <w:pPr>
        <w:pStyle w:val="Heading2"/>
      </w:pPr>
      <w:r>
        <w:t>4.1 Produtos e serviços</w:t>
      </w:r>
    </w:p>
    <w:p>
      <w:pPr>
        <w:pStyle w:val="ListBullet"/>
        <w:spacing w:after="40"/>
      </w:pPr>
      <w:r>
        <w:t>Plataforma web LMS acessada por navegador.</w:t>
      </w:r>
    </w:p>
    <w:p>
      <w:pPr>
        <w:pStyle w:val="ListBullet"/>
        <w:spacing w:after="40"/>
      </w:pPr>
      <w:r>
        <w:t>Cadastro e gerenciamento de usuários.</w:t>
      </w:r>
    </w:p>
    <w:p>
      <w:pPr>
        <w:pStyle w:val="ListBullet"/>
        <w:spacing w:after="40"/>
      </w:pPr>
      <w:r>
        <w:t>Criação de cursos, módulos e aulas.</w:t>
      </w:r>
    </w:p>
    <w:p>
      <w:pPr>
        <w:pStyle w:val="ListBullet"/>
        <w:spacing w:after="40"/>
      </w:pPr>
      <w:r>
        <w:t>Matrículas de alunos nos cursos.</w:t>
      </w:r>
    </w:p>
    <w:p>
      <w:pPr>
        <w:pStyle w:val="ListBullet"/>
        <w:spacing w:after="40"/>
      </w:pPr>
      <w:r>
        <w:t>Registro e acompanhamento do progresso.</w:t>
      </w:r>
    </w:p>
    <w:p>
      <w:pPr>
        <w:pStyle w:val="ListBullet"/>
        <w:spacing w:after="40"/>
      </w:pPr>
      <w:r>
        <w:t>Questionários e avaliações.</w:t>
      </w:r>
    </w:p>
    <w:p>
      <w:pPr>
        <w:pStyle w:val="ListBullet"/>
        <w:spacing w:after="40"/>
      </w:pPr>
      <w:r>
        <w:t>Armazenamento de materiais e arquivos dos cursos.</w:t>
      </w:r>
    </w:p>
    <w:p>
      <w:pPr>
        <w:pStyle w:val="Heading2"/>
      </w:pPr>
      <w:r>
        <w:t>4.2 Relação entre problema, funcionalidade 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Dor ou ganho do cliente</w:t>
            </w:r>
          </w:p>
        </w:tc>
        <w:tc>
          <w:tcPr>
            <w:tcW w:type="dxa" w:w="3135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Funcionalidade proposta</w:t>
            </w:r>
          </w:p>
        </w:tc>
        <w:tc>
          <w:tcPr>
            <w:tcW w:type="dxa" w:w="3135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Valor entregue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Conteúdos espalhados em diferentes canais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Cursos organizados em módulos e aulas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Centralização e facilidade para localizar materiais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Dificuldade de acompanhar o aluno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Matrículas e registro de progresso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Maior controle sobre participação e evolução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Avaliações separadas do ambiente de estudo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Questionários e avaliações integrados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 de aprendizagem mais organizado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Retrabalho na gestão de acessos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Cadastro de usuários e autenticação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Controle mais simples e seguro de acesso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Necessidade de disponibilizar materiais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Armazenamento de arquivos na plataforma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Materiais disponíveis no mesmo ambiente do curso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Desejo de uma experiência profissional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Interface web padronizada e organizada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Melhor experiência para gestores, professores e alunos</w:t>
            </w:r>
          </w:p>
        </w:tc>
      </w:tr>
    </w:tbl>
    <w:p/>
    <w:p>
      <w:r>
        <w:t>Dessa forma, as funcionalidades não são propostas de maneira isolada. Cada uma responde a uma necessidade identificada no perfil do cliente. Os aliviadores de dores estão principalmente na centralização e automação da organização, enquanto os criadores de ganhos aparecem na melhoria do controle, da experiência de uso e do acompanhamento acadêmico.</w:t>
      </w:r>
    </w:p>
    <w:p>
      <w:pPr>
        <w:pStyle w:val="Heading1"/>
      </w:pPr>
      <w:r>
        <w:t>5. Proposta de valor</w:t>
      </w:r>
    </w:p>
    <w:p>
      <w:pPr>
        <w:ind w:left="567" w:right="567"/>
      </w:pPr>
      <w:r>
        <w:rPr>
          <w:i/>
        </w:rPr>
        <w:t>Para escolas e instituições de ensino de pequeno e médio porte que enfrentam dificuldades para organizar conteúdos, usuários, avaliações e acompanhar o progresso dos alunos, o Prisma oferece uma plataforma LMS centralizada e acessível, permitindo administrar o ensino digital em um único ambiente, com uma solução simples, escalável e adequada à realidade de instituições menores.</w:t>
      </w:r>
    </w:p>
    <w:p>
      <w:pPr>
        <w:pStyle w:val="Heading1"/>
      </w:pPr>
      <w:r>
        <w:t>6. Business Model Canvas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val="1219" w:hRule="atLeast"/>
        </w:trPr>
        <w:tc>
          <w:tcPr>
            <w:tcW w:type="dxa" w:w="1843"/>
            <w:vMerge w:val="restart"/>
            <w:vAlign w:val="top"/>
            <w:shd w:fill="E2F0D9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sz w:val="18"/>
              </w:rPr>
              <w:t>PARCERIAS PRINCIPAIS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Provedores de infraestrutura e serviços em nuvem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Ferramentas de desenvolvimento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Meios de pagamento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Possíveis parceiros do setor educacional</w:t>
            </w:r>
          </w:p>
        </w:tc>
        <w:tc>
          <w:tcPr>
            <w:tcW w:type="dxa" w:w="1843"/>
            <w:vMerge w:val="restart"/>
            <w:vAlign w:val="top"/>
            <w:shd w:fill="FFF2CC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sz w:val="18"/>
              </w:rPr>
              <w:t>ATIVIDADES PRINCIPAIS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Desenvolvimento e manutenção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Correção de erros e segurança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Suporte aos clientes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Divulgação e vendas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Acompanhamento de métricas</w:t>
            </w:r>
          </w:p>
        </w:tc>
        <w:tc>
          <w:tcPr>
            <w:tcW w:type="dxa" w:w="1843"/>
            <w:vMerge w:val="restart"/>
            <w:vAlign w:val="top"/>
            <w:shd w:fill="FCE4D6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sz w:val="18"/>
              </w:rPr>
              <w:t>PROPOSTA DE VALOR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Centralizar a gestão do ensino digital em uma plataforma simples e acessível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Organização de conteúdos, usuários, progresso e avaliações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Redução de retrabalho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Melhor acompanhamento dos alunos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Solução adequada a instituições menores</w:t>
            </w:r>
          </w:p>
        </w:tc>
        <w:tc>
          <w:tcPr>
            <w:tcW w:type="dxa" w:w="1843"/>
            <w:vMerge w:val="restart"/>
            <w:vAlign w:val="top"/>
            <w:shd w:fill="E4DFEC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sz w:val="18"/>
              </w:rPr>
              <w:t>RELACIONAMENTO COM CLIENTES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Onboarding inicial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Suporte digital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Base de ajuda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Atendimento aos administradores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Acompanhamento e retenção</w:t>
            </w:r>
          </w:p>
        </w:tc>
        <w:tc>
          <w:tcPr>
            <w:tcW w:type="dxa" w:w="1843"/>
            <w:vMerge w:val="restart"/>
            <w:vAlign w:val="top"/>
            <w:shd w:fill="E2F0D9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sz w:val="18"/>
              </w:rPr>
              <w:t>SEGMENTOS DE CLIENTES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Prioritário: escolas e instituições de ensino de pequeno e médio porte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Cursos livres e profissionalizantes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Professores e pequenos produtores de cursos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Compradores: direção, coordenação ou administração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Usuários: professores e alunos</w:t>
            </w:r>
          </w:p>
        </w:tc>
      </w:tr>
      <w:tr>
        <w:trPr>
          <w:trHeight w:val="1219" w:hRule="atLeast"/>
        </w:trPr>
        <w:tc>
          <w:tcPr>
            <w:tcW w:type="dxa" w:w="1843"/>
            <w:vMerge/>
            <w:vAlign w:val="top"/>
          </w:tcPr>
          <w:p/>
        </w:tc>
        <w:tc>
          <w:tcPr>
            <w:tcW w:type="dxa" w:w="1843"/>
            <w:vMerge/>
            <w:vAlign w:val="top"/>
          </w:tcPr>
          <w:p/>
        </w:tc>
        <w:tc>
          <w:tcPr>
            <w:tcW w:type="dxa" w:w="1843"/>
            <w:vMerge/>
            <w:vAlign w:val="top"/>
          </w:tcPr>
          <w:p/>
        </w:tc>
        <w:tc>
          <w:tcPr>
            <w:tcW w:type="dxa" w:w="1843"/>
            <w:vMerge/>
            <w:vAlign w:val="top"/>
          </w:tcPr>
          <w:p/>
        </w:tc>
        <w:tc>
          <w:tcPr>
            <w:tcW w:type="dxa" w:w="1843"/>
            <w:vMerge/>
            <w:vAlign w:val="top"/>
          </w:tcPr>
          <w:p/>
        </w:tc>
      </w:tr>
      <w:tr>
        <w:trPr>
          <w:trHeight w:val="1219" w:hRule="atLeast"/>
        </w:trPr>
        <w:tc>
          <w:tcPr>
            <w:tcW w:type="dxa" w:w="1843"/>
            <w:vMerge/>
            <w:vAlign w:val="top"/>
          </w:tcPr>
          <w:p/>
        </w:tc>
        <w:tc>
          <w:tcPr>
            <w:tcW w:type="dxa" w:w="1843"/>
            <w:vMerge w:val="restart"/>
            <w:vAlign w:val="top"/>
            <w:shd w:fill="DDEBF7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sz w:val="18"/>
              </w:rPr>
              <w:t>RECURSOS PRINCIPAIS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Equipe de desenvolvimento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Infraestrutura em nuvem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Banco de dados, autenticação e armazenamento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Computadores e internet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Conhecimento técnico</w:t>
            </w:r>
          </w:p>
        </w:tc>
        <w:tc>
          <w:tcPr>
            <w:tcW w:type="dxa" w:w="1843"/>
            <w:vMerge/>
            <w:vAlign w:val="top"/>
          </w:tcPr>
          <w:p/>
        </w:tc>
        <w:tc>
          <w:tcPr>
            <w:tcW w:type="dxa" w:w="1843"/>
            <w:vMerge w:val="restart"/>
            <w:vAlign w:val="top"/>
            <w:shd w:fill="D9EAD3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sz w:val="18"/>
              </w:rPr>
              <w:t>CANAIS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Site do produto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Demonstrações online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Redes sociais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Contato direto com instituições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Indicações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Plataforma web</w:t>
            </w:r>
          </w:p>
        </w:tc>
        <w:tc>
          <w:tcPr>
            <w:tcW w:type="dxa" w:w="1843"/>
            <w:vMerge/>
            <w:vAlign w:val="top"/>
          </w:tcPr>
          <w:p/>
        </w:tc>
      </w:tr>
      <w:tr>
        <w:trPr>
          <w:trHeight w:val="1219" w:hRule="atLeast"/>
        </w:trPr>
        <w:tc>
          <w:tcPr>
            <w:tcW w:type="dxa" w:w="1843"/>
            <w:vMerge/>
            <w:vAlign w:val="top"/>
          </w:tcPr>
          <w:p/>
        </w:tc>
        <w:tc>
          <w:tcPr>
            <w:tcW w:type="dxa" w:w="1843"/>
            <w:vMerge/>
            <w:vAlign w:val="top"/>
          </w:tcPr>
          <w:p/>
        </w:tc>
        <w:tc>
          <w:tcPr>
            <w:tcW w:type="dxa" w:w="1843"/>
            <w:vMerge/>
            <w:vAlign w:val="top"/>
          </w:tcPr>
          <w:p/>
        </w:tc>
        <w:tc>
          <w:tcPr>
            <w:tcW w:type="dxa" w:w="1843"/>
            <w:vMerge/>
            <w:vAlign w:val="top"/>
          </w:tcPr>
          <w:p/>
        </w:tc>
        <w:tc>
          <w:tcPr>
            <w:tcW w:type="dxa" w:w="1843"/>
            <w:vMerge/>
            <w:vAlign w:val="top"/>
          </w:tcPr>
          <w:p/>
        </w:tc>
      </w:tr>
      <w:tr>
        <w:trPr>
          <w:trHeight w:val="1446" w:hRule="atLeast"/>
        </w:trPr>
        <w:tc>
          <w:tcPr>
            <w:tcW w:type="dxa" w:w="3686"/>
            <w:gridSpan w:val="2"/>
            <w:vAlign w:val="top"/>
            <w:shd w:fill="F4CCCC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sz w:val="18"/>
              </w:rPr>
              <w:t>ESTRUTURA DE CUSTOS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Mão de obra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Internet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Infraestrutura em nuvem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Domínio e serviços digitais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Manutenção e suporte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Divulgação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Atualização de equipamentos</w:t>
            </w:r>
          </w:p>
        </w:tc>
        <w:tc>
          <w:tcPr>
            <w:tcW w:type="dxa" w:w="5529"/>
            <w:gridSpan w:val="3"/>
            <w:vAlign w:val="top"/>
            <w:shd w:fill="D9EAD3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sz w:val="18"/>
              </w:rPr>
              <w:t>FONTES DE RECEITA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Assinaturas mensais e anuais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Plano Essencial: R$ 199/mês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Plano Profissional: R$ 449/mês</w:t>
            </w:r>
          </w:p>
          <w:p>
            <w:pPr>
              <w:spacing w:after="20"/>
              <w:ind w:left="45"/>
            </w:pPr>
            <w:r>
              <w:rPr>
                <w:rFonts w:ascii="Arial" w:hAnsi="Arial"/>
                <w:sz w:val="15"/>
              </w:rPr>
              <w:t>• Possibilidade futura de implantação, treinamento e serviços adicionais</w:t>
            </w:r>
          </w:p>
        </w:tc>
      </w:tr>
    </w:tbl>
    <w:p/>
    <w:p>
      <w:r>
        <w:rPr>
          <w:rFonts w:ascii="Arial" w:hAnsi="Arial"/>
          <w:sz w:val="22"/>
        </w:rPr>
        <w:t>O Canvas acima apresenta os nove blocos do modelo de negócio do Prisma no formato tradicional do Business Model Canvas. Os elementos foram organizados de forma integrada: o segmento de clientes orienta a proposta de valor, os canais e o relacionamento; as atividades, recursos e parcerias sustentam a entrega; e as fontes de receita precisam ser compatíveis com a estrutura de custos.</w:t>
      </w:r>
    </w:p>
    <w:p>
      <w:pPr>
        <w:pStyle w:val="Heading1"/>
      </w:pPr>
      <w:r>
        <w:t>7. Modelo de monetização e precificação</w:t>
      </w:r>
    </w:p>
    <w:p>
      <w:r>
        <w:t>O Prisma adotará cobrança por organização, com assinatura mensal e possibilidade de desconto em contratação anual. Esse formato facilita a previsão de custos pelo cliente e gera receita recorrente para o produto. Para a simulação inicial foram definidos dois planos.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Plano</w:t>
            </w:r>
          </w:p>
        </w:tc>
        <w:tc>
          <w:tcPr>
            <w:tcW w:type="dxa" w:w="2351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Público-alvo</w:t>
            </w:r>
          </w:p>
        </w:tc>
        <w:tc>
          <w:tcPr>
            <w:tcW w:type="dxa" w:w="2351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Funcionalidades e limites</w:t>
            </w:r>
          </w:p>
        </w:tc>
        <w:tc>
          <w:tcPr>
            <w:tcW w:type="dxa" w:w="2351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Valor mensal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Escolas pequenas e cursos em fase inicial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Até 150 alunos; até 10 professores; cursos, módulos, aulas, matrículas, progresso e avaliações básicas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R$ 199,00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Profissional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Instituições em crescimento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Até 600 alunos; até 40 professores; recursos do Essencial, maior armazenamento, relatórios de acompanhamento e suporte prioritário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R$ 449,00</w:t>
            </w:r>
          </w:p>
        </w:tc>
      </w:tr>
    </w:tbl>
    <w:p/>
    <w:p>
      <w:r>
        <w:t>A estratégia utiliza um plano de entrada com preço menor para reduzir a barreira de contratação e um plano superior para clientes que crescem ou precisam de maior capacidade. O principal motivo para migração ao Profissional seria o aumento do número de alunos e professores, além da necessidade de maior armazenamento, relatórios e atendimento prioritário. Os limites poderão ser revisados após testes comerciais e análise do custo real de infraestrutura por cliente.</w:t>
      </w:r>
    </w:p>
    <w:p>
      <w:pPr>
        <w:pStyle w:val="Heading1"/>
        <w:pageBreakBefore/>
      </w:pPr>
      <w:r>
        <w:t>8. Estrutura de custos e viabilidade financeira</w:t>
      </w:r>
    </w:p>
    <w:p>
      <w:pPr>
        <w:pStyle w:val="Heading2"/>
      </w:pPr>
      <w:r>
        <w:t>8.1 Custos já considerados no projeto</w:t>
      </w:r>
    </w:p>
    <w:p>
      <w:r>
        <w:t>O planejamento anterior do projeto considerou quatro computadores já disponíveis para a equipe, avaliados em aproximadamente R$ 18.000,00 no total, além de internet e mão de obra. Como os computadores representam investimento inicial e não uma saída mensal recorrente integral, eles não são somados novamente ao custo operacional mensal desta simulação.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3135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Critério utilizado</w:t>
            </w:r>
          </w:p>
        </w:tc>
        <w:tc>
          <w:tcPr>
            <w:tcW w:type="dxa" w:w="3135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Estimativa mensal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Mão de obra da equipe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 integrantes × 15 h/semana × 4 semanas × R$ 35/h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R$ 8.400,00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Internet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R$ 200/mês por integrante × 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R$ 800,00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Infraestrutura SaaS, domínio e serviços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Reserva inicial para hospedagem, banco, armazenamento e serviços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R$ 600,00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Suporte, divulgação e contingência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Reserva operacional inicial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R$ 700,00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Total operacional mensal estimado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R$ 10.500,00</w:t>
            </w:r>
          </w:p>
        </w:tc>
      </w:tr>
    </w:tbl>
    <w:p/>
    <w:p>
      <w:r>
        <w:t>A mão de obra foi mantida como custo econômico para avaliar se o produto conseguiria sustentar uma equipe remunerada. Na fase acadêmica, parte desses custos pode não representar desembolso real, mas considerá-los torna a análise comercial mais realista.</w:t>
      </w:r>
    </w:p>
    <w:p>
      <w:pPr>
        <w:pStyle w:val="Heading2"/>
      </w:pPr>
      <w:r>
        <w:t>8.2 Simulação de clientes e receitas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Indicador</w:t>
            </w:r>
          </w:p>
        </w:tc>
        <w:tc>
          <w:tcPr>
            <w:tcW w:type="dxa" w:w="4702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Clientes do plano Essencial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40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Receita do plano Essencial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R$ 7.960,00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Clientes do plano Profissional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15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Receita do plano Profissional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R$ 6.735,00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Total de clientes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55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MRR total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R$ 14.695,00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ARR (MRR × 12)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R$ 176.340,00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Custos e despesas mensais estimados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R$ 10.500,00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Resultado operacional mensal estimado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R$ 4.195,00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Resultado operacional anualizado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R$ 50.340,00</w:t>
            </w:r>
          </w:p>
        </w:tc>
      </w:tr>
    </w:tbl>
    <w:p/>
    <w:p>
      <w:r>
        <w:t>Na hipótese apresentada, o Prisma teria receita recorrente mensal superior aos custos estimados, indicando potencial de sustentabilidade financeira. O cenário, porém, depende da capacidade de conquistar e manter clientes. Crescimento de custos de infraestrutura, necessidade de contratação de profissionais, despesas comerciais, inadimplência e cancelamentos podem reduzir o resultado.</w:t>
      </w:r>
    </w:p>
    <w:p>
      <w:r>
        <w:t>O ARR apresentado é apenas a anualização do MRR do cenário simulado e não representa garantia de faturamento futuro. Com os preços utilizados, a receita média por cliente da simulação é de aproximadamente R$ 267,18 por mês. Mantida essa composição de planos, seriam necessários cerca de 40 clientes para cobrir um custo mensal próximo de R$ 10.500,00.</w:t>
      </w:r>
    </w:p>
    <w:p>
      <w:pPr>
        <w:pStyle w:val="Heading1"/>
      </w:pPr>
      <w:r>
        <w:t>9. Indicadores de desempenho do SaaS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Indicador</w:t>
            </w:r>
          </w:p>
        </w:tc>
        <w:tc>
          <w:tcPr>
            <w:tcW w:type="dxa" w:w="4702"/>
            <w:vAlign w:val="center"/>
            <w:shd w:fill="B4C6E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Aplicação no Prisma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MRR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Acompanhar a receita recorrente mensal gerada pelas assinaturas.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ARR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Anualizar a receita recorrente atual para apoiar planejamento.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Churn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Medir a porcentagem de clientes que cancelam a assinatura.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CAC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Acompanhar quanto é gasto, em média, para conquistar um novo cliente.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LTV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Estimar quanto um cliente gera de receita durante seu relacionamento com o Prisma.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Taxa de conversão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Medir quantos interessados ou demonstrações se transformam em clientes pagantes.</w:t>
            </w:r>
          </w:p>
        </w:tc>
      </w:tr>
    </w:tbl>
    <w:p/>
    <w:p>
      <w:r>
        <w:t>Esses indicadores deverão ser acompanhados quando o produto entrar em validação comercial. Eles permitem verificar não apenas se há vendas, mas também se a aquisição e a permanência dos clientes tornam o modelo sustentável.</w:t>
      </w:r>
    </w:p>
    <w:p>
      <w:pPr>
        <w:pStyle w:val="Heading1"/>
      </w:pPr>
      <w:r>
        <w:t>10. Conclusão</w:t>
      </w:r>
    </w:p>
    <w:p>
      <w:r>
        <w:t>A análise mostra que o Prisma pode ser estruturado não apenas como um projeto de software, mas como um produto SaaS voltado inicialmente a instituições de ensino de pequeno e médio porte. O Value Proposition Canvas permitiu relacionar necessidades reais do cliente às funcionalidades da plataforma, enquanto o Business Model Canvas organizou os principais elementos necessários para operação e comercialização.</w:t>
      </w:r>
    </w:p>
    <w:p>
      <w:r>
        <w:t>A simulação financeira indica que o modelo pode alcançar resultado operacional positivo quando atinge uma base suficiente de assinantes. Antes de uma comercialização real, os preços, limites dos planos e custos de infraestrutura deverão ser validados com potenciais clientes e ajustados conforme o uso da plataforma. Assim, as decisões de desenvolvimento podem priorizar funcionalidades que entreguem valor ao segmento escolhido e contribuam para retenção e crescimento do produto.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