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AE6C" w14:textId="133E46D3" w:rsidR="004C7C86" w:rsidRPr="00EA66FB" w:rsidRDefault="004C7C86" w:rsidP="00B8676D">
      <w:pPr>
        <w:spacing w:after="0" w:line="480" w:lineRule="auto"/>
        <w:rPr>
          <w:rFonts w:ascii="Times New Roman" w:hAnsi="Times New Roman" w:cs="Times New Roman"/>
          <w:b/>
          <w:bCs/>
          <w:sz w:val="32"/>
          <w:szCs w:val="32"/>
        </w:rPr>
      </w:pPr>
      <w:bookmarkStart w:id="0" w:name="_Hlk86582993"/>
      <w:bookmarkStart w:id="1" w:name="_Hlk86582335"/>
      <w:r w:rsidRPr="00E05907">
        <w:rPr>
          <w:rFonts w:ascii="Times New Roman" w:hAnsi="Times New Roman" w:cs="Times New Roman"/>
          <w:b/>
          <w:bCs/>
          <w:sz w:val="24"/>
          <w:szCs w:val="24"/>
          <w:lang w:val="en-US"/>
        </w:rPr>
        <w:t>Journal name</w:t>
      </w:r>
    </w:p>
    <w:p w14:paraId="015C3F01" w14:textId="2241B89A" w:rsidR="004C7C86" w:rsidRPr="00253163" w:rsidRDefault="00AD08E9" w:rsidP="00B8676D">
      <w:pPr>
        <w:spacing w:after="0" w:line="480" w:lineRule="auto"/>
        <w:rPr>
          <w:rFonts w:ascii="Times New Roman" w:hAnsi="Times New Roman" w:cs="Times New Roman"/>
          <w:i/>
          <w:iCs/>
          <w:sz w:val="24"/>
          <w:szCs w:val="24"/>
          <w:lang w:val="en-US"/>
        </w:rPr>
      </w:pPr>
      <w:r w:rsidRPr="00642218">
        <w:rPr>
          <w:rFonts w:ascii="Times New Roman" w:hAnsi="Times New Roman" w:cs="Times New Roman"/>
          <w:i/>
          <w:iCs/>
          <w:sz w:val="24"/>
          <w:szCs w:val="24"/>
          <w:lang w:val="en-US"/>
        </w:rPr>
        <w:t>E</w:t>
      </w:r>
      <w:r w:rsidRPr="00F946F4">
        <w:rPr>
          <w:rFonts w:ascii="Times New Roman" w:hAnsi="Times New Roman" w:cs="Times New Roman"/>
          <w:i/>
          <w:iCs/>
          <w:sz w:val="24"/>
          <w:szCs w:val="24"/>
          <w:lang w:val="en-US"/>
        </w:rPr>
        <w:t>cology</w:t>
      </w:r>
    </w:p>
    <w:p w14:paraId="4AE9ADB4"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Manuscript type</w:t>
      </w:r>
    </w:p>
    <w:p w14:paraId="01B9AFE8"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Article</w:t>
      </w:r>
    </w:p>
    <w:p w14:paraId="4B9E0A3B"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Title</w:t>
      </w:r>
    </w:p>
    <w:p w14:paraId="3F7EB5CE" w14:textId="75D1B802" w:rsidR="00253163" w:rsidRDefault="00B8676D" w:rsidP="00B8676D">
      <w:pPr>
        <w:spacing w:after="0" w:line="480" w:lineRule="auto"/>
        <w:jc w:val="both"/>
        <w:rPr>
          <w:rFonts w:ascii="Times New Roman" w:hAnsi="Times New Roman" w:cs="Times New Roman"/>
          <w:sz w:val="24"/>
          <w:szCs w:val="24"/>
          <w:lang w:val="en-US"/>
        </w:rPr>
      </w:pPr>
      <w:bookmarkStart w:id="2" w:name="_Hlk167018197"/>
      <w:r w:rsidRPr="00B8676D">
        <w:rPr>
          <w:rFonts w:ascii="Times New Roman" w:hAnsi="Times New Roman" w:cs="Times New Roman"/>
          <w:sz w:val="24"/>
          <w:szCs w:val="24"/>
          <w:lang w:val="en-US"/>
        </w:rPr>
        <w:t xml:space="preserve">Contributions of primary and secondary dispersal to total dispersal </w:t>
      </w:r>
      <w:r w:rsidR="00140BAF">
        <w:rPr>
          <w:rFonts w:ascii="Times New Roman" w:hAnsi="Times New Roman" w:cs="Times New Roman"/>
          <w:sz w:val="24"/>
          <w:szCs w:val="24"/>
          <w:lang w:val="en-US"/>
        </w:rPr>
        <w:t xml:space="preserve">and invader spread </w:t>
      </w:r>
      <w:r w:rsidRPr="00B8676D">
        <w:rPr>
          <w:rFonts w:ascii="Times New Roman" w:hAnsi="Times New Roman" w:cs="Times New Roman"/>
          <w:sz w:val="24"/>
          <w:szCs w:val="24"/>
          <w:lang w:val="en-US"/>
        </w:rPr>
        <w:t>in future climates</w:t>
      </w:r>
    </w:p>
    <w:bookmarkEnd w:id="2"/>
    <w:p w14:paraId="2FAD6AF7" w14:textId="03DC8FA1"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Authors</w:t>
      </w:r>
    </w:p>
    <w:p w14:paraId="2AED4845"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Trevor H. Drees</w:t>
      </w: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 Katriona Shea</w:t>
      </w:r>
      <w:r w:rsidRPr="00E05907">
        <w:rPr>
          <w:rFonts w:ascii="Times New Roman" w:hAnsi="Times New Roman" w:cs="Times New Roman"/>
          <w:sz w:val="24"/>
          <w:szCs w:val="24"/>
          <w:vertAlign w:val="superscript"/>
          <w:lang w:val="en-US"/>
        </w:rPr>
        <w:t>1</w:t>
      </w:r>
    </w:p>
    <w:p w14:paraId="6BFA3DEE" w14:textId="77777777" w:rsidR="004C7C86" w:rsidRPr="00E05907" w:rsidRDefault="004C7C86" w:rsidP="00B8676D">
      <w:pPr>
        <w:spacing w:after="0" w:line="480" w:lineRule="auto"/>
        <w:rPr>
          <w:rFonts w:ascii="Times New Roman" w:hAnsi="Times New Roman"/>
          <w:b/>
          <w:sz w:val="24"/>
          <w:lang w:val="en-US"/>
        </w:rPr>
      </w:pPr>
      <w:r w:rsidRPr="00E05907">
        <w:rPr>
          <w:rFonts w:ascii="Times New Roman" w:hAnsi="Times New Roman"/>
          <w:b/>
          <w:sz w:val="24"/>
          <w:lang w:val="en-US"/>
        </w:rPr>
        <w:t xml:space="preserve">Author </w:t>
      </w:r>
      <w:r w:rsidRPr="00E05907">
        <w:rPr>
          <w:rFonts w:ascii="Times New Roman" w:hAnsi="Times New Roman" w:cs="Times New Roman"/>
          <w:b/>
          <w:bCs/>
          <w:sz w:val="24"/>
          <w:szCs w:val="24"/>
          <w:lang w:val="en-US"/>
        </w:rPr>
        <w:t>affiliations</w:t>
      </w:r>
    </w:p>
    <w:p w14:paraId="7A26BC82" w14:textId="77777777" w:rsidR="004C7C86" w:rsidRPr="00E05907" w:rsidRDefault="004C7C86" w:rsidP="00B8676D">
      <w:pPr>
        <w:spacing w:after="0" w:line="480" w:lineRule="auto"/>
        <w:rPr>
          <w:rFonts w:ascii="Times New Roman" w:hAnsi="Times New Roman"/>
          <w:sz w:val="24"/>
          <w:lang w:val="en-US"/>
        </w:rPr>
      </w:pP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Department</w:t>
      </w:r>
      <w:r w:rsidRPr="00E05907">
        <w:rPr>
          <w:rFonts w:ascii="Times New Roman" w:hAnsi="Times New Roman"/>
          <w:sz w:val="24"/>
          <w:lang w:val="en-US"/>
        </w:rPr>
        <w:t xml:space="preserve"> of Biology and </w:t>
      </w:r>
      <w:r w:rsidRPr="00E05907">
        <w:rPr>
          <w:rFonts w:ascii="Times New Roman" w:hAnsi="Times New Roman" w:cs="Times New Roman"/>
          <w:sz w:val="24"/>
          <w:szCs w:val="24"/>
          <w:lang w:val="en-US"/>
        </w:rPr>
        <w:t>IGDP</w:t>
      </w:r>
      <w:r w:rsidRPr="00E05907">
        <w:rPr>
          <w:rFonts w:ascii="Times New Roman" w:hAnsi="Times New Roman"/>
          <w:sz w:val="24"/>
          <w:lang w:val="en-US"/>
        </w:rPr>
        <w:t xml:space="preserve"> in Ecology, The Pennsylvania State University</w:t>
      </w:r>
    </w:p>
    <w:p w14:paraId="3B1ABA8B"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208 Mueller Laboratory, University Park, Pennsylvania 16802 USA</w:t>
      </w:r>
    </w:p>
    <w:p w14:paraId="0B732EF5"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b/>
          <w:sz w:val="24"/>
          <w:lang w:val="en-US"/>
        </w:rPr>
        <w:t>Corresponding author</w:t>
      </w:r>
    </w:p>
    <w:p w14:paraId="5CDD12EB" w14:textId="77777777" w:rsidR="004C7C86" w:rsidRPr="00E05907" w:rsidRDefault="004C7C86" w:rsidP="00B8676D">
      <w:pPr>
        <w:spacing w:after="0" w:line="480" w:lineRule="auto"/>
        <w:rPr>
          <w:rFonts w:ascii="Times New Roman" w:hAnsi="Times New Roman"/>
          <w:color w:val="FF0000"/>
          <w:sz w:val="24"/>
          <w:lang w:val="en-US"/>
        </w:rPr>
      </w:pPr>
      <w:r w:rsidRPr="00E05907">
        <w:rPr>
          <w:rFonts w:ascii="Times New Roman" w:hAnsi="Times New Roman"/>
          <w:sz w:val="24"/>
          <w:lang w:val="en-US"/>
        </w:rPr>
        <w:t>Trevor Drees (thd5066@psu.edu)</w:t>
      </w:r>
    </w:p>
    <w:p w14:paraId="282B97C4"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Data accessibility</w:t>
      </w:r>
    </w:p>
    <w:p w14:paraId="2B69FE3D" w14:textId="06314BE6" w:rsidR="004C7C86" w:rsidRPr="00E05907" w:rsidRDefault="004C7C86" w:rsidP="00B8676D">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Data and code (Drees 202</w:t>
      </w:r>
      <w:r w:rsidR="00EA66FB">
        <w:rPr>
          <w:rFonts w:ascii="Times New Roman" w:hAnsi="Times New Roman" w:cs="Times New Roman"/>
          <w:sz w:val="24"/>
          <w:szCs w:val="24"/>
          <w:lang w:val="en-US"/>
        </w:rPr>
        <w:t>4</w:t>
      </w:r>
      <w:r>
        <w:rPr>
          <w:rFonts w:ascii="Times New Roman" w:hAnsi="Times New Roman" w:cs="Times New Roman"/>
          <w:sz w:val="24"/>
          <w:szCs w:val="24"/>
          <w:lang w:val="en-US"/>
        </w:rPr>
        <w:t xml:space="preserve">) are </w:t>
      </w:r>
      <w:r w:rsidR="00EA66FB">
        <w:rPr>
          <w:rFonts w:ascii="Times New Roman" w:hAnsi="Times New Roman" w:cs="Times New Roman"/>
          <w:sz w:val="24"/>
          <w:szCs w:val="24"/>
          <w:lang w:val="en-US"/>
        </w:rPr>
        <w:t>available on GitHub and will be made public upon acceptance of this manuscript</w:t>
      </w:r>
      <w:r>
        <w:rPr>
          <w:rFonts w:ascii="Times New Roman" w:hAnsi="Times New Roman" w:cs="Times New Roman"/>
          <w:sz w:val="24"/>
          <w:szCs w:val="24"/>
          <w:lang w:val="en-US"/>
        </w:rPr>
        <w:t>.</w:t>
      </w:r>
    </w:p>
    <w:p w14:paraId="1C4B414E"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 xml:space="preserve">Key </w:t>
      </w:r>
      <w:r>
        <w:rPr>
          <w:rFonts w:ascii="Times New Roman" w:hAnsi="Times New Roman" w:cs="Times New Roman"/>
          <w:b/>
          <w:bCs/>
          <w:sz w:val="24"/>
          <w:szCs w:val="24"/>
          <w:lang w:val="en-US"/>
        </w:rPr>
        <w:t>w</w:t>
      </w:r>
      <w:r w:rsidRPr="00E05907">
        <w:rPr>
          <w:rFonts w:ascii="Times New Roman" w:hAnsi="Times New Roman" w:cs="Times New Roman"/>
          <w:b/>
          <w:bCs/>
          <w:sz w:val="24"/>
          <w:szCs w:val="24"/>
          <w:lang w:val="en-US"/>
        </w:rPr>
        <w:t>ords</w:t>
      </w:r>
    </w:p>
    <w:p w14:paraId="0E150A55" w14:textId="2ACFB5F3" w:rsidR="004C7C86" w:rsidRPr="00E05907" w:rsidRDefault="004C7C86" w:rsidP="00B8676D">
      <w:pPr>
        <w:spacing w:after="0" w:line="480" w:lineRule="auto"/>
        <w:jc w:val="both"/>
        <w:rPr>
          <w:rFonts w:ascii="Times New Roman" w:hAnsi="Times New Roman" w:cs="Times New Roman"/>
          <w:sz w:val="24"/>
          <w:szCs w:val="24"/>
          <w:lang w:val="en-US"/>
        </w:rPr>
      </w:pPr>
      <w:r w:rsidRPr="00253163">
        <w:rPr>
          <w:rFonts w:ascii="Times New Roman" w:hAnsi="Times New Roman" w:cs="Times New Roman"/>
          <w:i/>
          <w:iCs/>
          <w:sz w:val="24"/>
          <w:szCs w:val="24"/>
          <w:lang w:val="en-US"/>
        </w:rPr>
        <w:t>Carduus nutans</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climate change</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dispersal</w:t>
      </w:r>
      <w:r w:rsidR="00253163">
        <w:rPr>
          <w:rFonts w:ascii="Times New Roman" w:hAnsi="Times New Roman" w:cs="Times New Roman"/>
          <w:sz w:val="24"/>
          <w:szCs w:val="24"/>
          <w:lang w:val="en-US"/>
        </w:rPr>
        <w:t>;</w:t>
      </w:r>
      <w:r w:rsidR="0074509C" w:rsidRPr="00253163">
        <w:rPr>
          <w:rFonts w:ascii="Times New Roman" w:hAnsi="Times New Roman" w:cs="Times New Roman"/>
          <w:sz w:val="24"/>
          <w:szCs w:val="24"/>
          <w:lang w:val="en-US"/>
        </w:rPr>
        <w:t xml:space="preserve"> invasions</w:t>
      </w:r>
      <w:r w:rsidR="00253163">
        <w:rPr>
          <w:rFonts w:ascii="Times New Roman" w:hAnsi="Times New Roman" w:cs="Times New Roman"/>
          <w:sz w:val="24"/>
          <w:szCs w:val="24"/>
          <w:lang w:val="en-US"/>
        </w:rPr>
        <w:t>; individual-based models;</w:t>
      </w:r>
      <w:r w:rsidRPr="00253163">
        <w:rPr>
          <w:rFonts w:ascii="Times New Roman" w:hAnsi="Times New Roman" w:cs="Times New Roman"/>
          <w:sz w:val="24"/>
          <w:szCs w:val="24"/>
          <w:lang w:val="en-US"/>
        </w:rPr>
        <w:t xml:space="preserve"> invasive species</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myrmecochory</w:t>
      </w:r>
      <w:r w:rsidR="00253163">
        <w:rPr>
          <w:rFonts w:ascii="Times New Roman" w:hAnsi="Times New Roman" w:cs="Times New Roman"/>
          <w:sz w:val="24"/>
          <w:szCs w:val="24"/>
          <w:lang w:val="en-US"/>
        </w:rPr>
        <w:t>;</w:t>
      </w:r>
      <w:r w:rsidR="00D37ADB" w:rsidRPr="00253163">
        <w:rPr>
          <w:rFonts w:ascii="Times New Roman" w:hAnsi="Times New Roman" w:cs="Times New Roman"/>
          <w:sz w:val="24"/>
          <w:szCs w:val="24"/>
          <w:lang w:val="en-US"/>
        </w:rPr>
        <w:t xml:space="preserve"> population spread models</w:t>
      </w:r>
      <w:r w:rsidR="00253163" w:rsidRPr="00253163">
        <w:rPr>
          <w:rFonts w:ascii="Times New Roman" w:hAnsi="Times New Roman" w:cs="Times New Roman"/>
          <w:sz w:val="24"/>
          <w:szCs w:val="24"/>
          <w:lang w:val="en-US"/>
        </w:rPr>
        <w:t>; weed; wind dispersal</w:t>
      </w:r>
    </w:p>
    <w:p w14:paraId="631AAF77" w14:textId="77777777" w:rsidR="00F55C2F" w:rsidRDefault="00F55C2F">
      <w:pPr>
        <w:rPr>
          <w:rFonts w:ascii="Times New Roman" w:hAnsi="Times New Roman" w:cs="Times New Roman"/>
          <w:b/>
          <w:bCs/>
          <w:sz w:val="24"/>
          <w:szCs w:val="24"/>
        </w:rPr>
      </w:pPr>
      <w:r>
        <w:rPr>
          <w:rFonts w:ascii="Times New Roman" w:hAnsi="Times New Roman" w:cs="Times New Roman"/>
          <w:b/>
          <w:bCs/>
          <w:sz w:val="24"/>
          <w:szCs w:val="24"/>
        </w:rPr>
        <w:br w:type="page"/>
      </w:r>
    </w:p>
    <w:p w14:paraId="77BBA0D5" w14:textId="7B5ABD3C" w:rsidR="00DB4305" w:rsidRPr="00BD590D" w:rsidRDefault="00DB4305" w:rsidP="00C64983">
      <w:pPr>
        <w:spacing w:after="0" w:line="480" w:lineRule="auto"/>
        <w:rPr>
          <w:rFonts w:ascii="Times New Roman" w:hAnsi="Times New Roman" w:cs="Times New Roman"/>
          <w:b/>
          <w:bCs/>
          <w:sz w:val="24"/>
          <w:szCs w:val="24"/>
        </w:rPr>
      </w:pPr>
      <w:r w:rsidRPr="00BD590D">
        <w:rPr>
          <w:rFonts w:ascii="Times New Roman" w:hAnsi="Times New Roman" w:cs="Times New Roman"/>
          <w:b/>
          <w:bCs/>
          <w:sz w:val="24"/>
          <w:szCs w:val="24"/>
        </w:rPr>
        <w:lastRenderedPageBreak/>
        <w:t>Abstract</w:t>
      </w:r>
    </w:p>
    <w:p w14:paraId="56F6C702" w14:textId="283C95B3" w:rsidR="006B061A" w:rsidRDefault="00F61BEA" w:rsidP="00C64983">
      <w:pPr>
        <w:spacing w:after="0" w:line="480" w:lineRule="auto"/>
        <w:ind w:firstLine="284"/>
        <w:rPr>
          <w:rFonts w:ascii="Times New Roman" w:hAnsi="Times New Roman" w:cs="Times New Roman"/>
          <w:sz w:val="24"/>
          <w:szCs w:val="24"/>
        </w:rPr>
      </w:pPr>
      <w:r w:rsidRPr="00F61BEA">
        <w:rPr>
          <w:rFonts w:ascii="Times New Roman" w:hAnsi="Times New Roman" w:cs="Times New Roman"/>
          <w:sz w:val="24"/>
          <w:szCs w:val="24"/>
          <w:lang w:val="en-US"/>
        </w:rPr>
        <w:t xml:space="preserve">Sessile organisms often rely entirely on their environment to facilitate the dispersal of their propagules and expand their populations. Unfortunately, dispersal and propagule fate are poorly understood because they are exceptionally challenging and resource-intensive to measure. This is especially true for the many species whose dispersal involves multiple pathways, where each one contributes individually to its </w:t>
      </w:r>
      <w:r w:rsidRPr="00F61BEA">
        <w:rPr>
          <w:rFonts w:ascii="Times New Roman" w:hAnsi="Times New Roman" w:cs="Times New Roman"/>
          <w:i/>
          <w:iCs/>
          <w:sz w:val="24"/>
          <w:szCs w:val="24"/>
          <w:lang w:val="en-US"/>
        </w:rPr>
        <w:t>total dispersal</w:t>
      </w:r>
      <w:r w:rsidRPr="00F61BEA">
        <w:rPr>
          <w:rFonts w:ascii="Times New Roman" w:hAnsi="Times New Roman" w:cs="Times New Roman"/>
          <w:sz w:val="24"/>
          <w:szCs w:val="24"/>
          <w:lang w:val="en-US"/>
        </w:rPr>
        <w:t xml:space="preserve">, or aggregation of all potential dispersal pathways. Here, we address these challenges for the widely distributed invasive thistle </w:t>
      </w:r>
      <w:r w:rsidRPr="00F61BEA">
        <w:rPr>
          <w:rFonts w:ascii="Times New Roman" w:hAnsi="Times New Roman" w:cs="Times New Roman"/>
          <w:i/>
          <w:iCs/>
          <w:sz w:val="24"/>
          <w:szCs w:val="24"/>
          <w:lang w:val="en-US"/>
        </w:rPr>
        <w:t>Carduus nutans</w:t>
      </w:r>
      <w:r w:rsidRPr="00F61BEA">
        <w:rPr>
          <w:rFonts w:ascii="Times New Roman" w:hAnsi="Times New Roman" w:cs="Times New Roman"/>
          <w:sz w:val="24"/>
          <w:szCs w:val="24"/>
          <w:lang w:val="en-US"/>
        </w:rPr>
        <w:t>.</w:t>
      </w:r>
      <w:r w:rsidRPr="00F61BEA">
        <w:rPr>
          <w:rFonts w:ascii="Times New Roman" w:hAnsi="Times New Roman" w:cs="Times New Roman"/>
          <w:i/>
          <w:iCs/>
          <w:sz w:val="24"/>
          <w:szCs w:val="24"/>
          <w:lang w:val="en-US"/>
        </w:rPr>
        <w:t xml:space="preserve"> </w:t>
      </w:r>
      <w:r w:rsidRPr="00F61BEA">
        <w:rPr>
          <w:rFonts w:ascii="Times New Roman" w:hAnsi="Times New Roman" w:cs="Times New Roman"/>
          <w:sz w:val="24"/>
          <w:szCs w:val="24"/>
          <w:lang w:val="en-US"/>
        </w:rPr>
        <w:t>We create an individual-based model of population spread which, when paired with sensitivity analyses, allows us to examine the relative importance of multiple dispersal pathways even when some dispersal and propagule fate parameters are not fully known. We then used this model to assess the contributions of both dispersal pathways in this species (primary dispersal via wind, and secondary dispersal via ants) to simulated spread rates, including exploring how each one is impacted by climate warming. Results indicate that an approximately 0.6°C higher growing temperature approximately doubled simulated spread rates, regardless of whether ant-driven seed movement and/or predation occurred after wind dispersal. Simulated spread rates were much higher when ant-driven dynamics were removed from the model, likely due to the exclusion of predation rather than the exclusion of movement. Parameters used to model ant-driven seed movement, such as ant nest density or maximum foraging distance, made little contribution to spread relative to those used to model wind dispersal or ant-driven predation; given limited resources, future research should thus be focused on quantifying the latter factors. Our results demonstrate that modelling-based approaches can be effectively used to develop guidance on where limited resources such as money, time, and labor should be spent, ensuring accurate data are collected on dispersal pathways that make material contributions to species spread.</w:t>
      </w:r>
    </w:p>
    <w:bookmarkEnd w:id="0"/>
    <w:p w14:paraId="6448E568" w14:textId="29620021" w:rsidR="00DB4305" w:rsidRPr="00A50152" w:rsidRDefault="006B061A" w:rsidP="00C64983">
      <w:pPr>
        <w:spacing w:after="0" w:line="480" w:lineRule="auto"/>
        <w:rPr>
          <w:rFonts w:ascii="Times New Roman" w:hAnsi="Times New Roman" w:cs="Times New Roman"/>
          <w:b/>
          <w:bCs/>
          <w:sz w:val="32"/>
          <w:szCs w:val="32"/>
        </w:rPr>
      </w:pPr>
      <w:r>
        <w:rPr>
          <w:rFonts w:ascii="Times New Roman" w:hAnsi="Times New Roman" w:cs="Times New Roman"/>
          <w:b/>
          <w:bCs/>
          <w:sz w:val="24"/>
          <w:szCs w:val="24"/>
        </w:rPr>
        <w:lastRenderedPageBreak/>
        <w:t>Introduction</w:t>
      </w:r>
    </w:p>
    <w:p w14:paraId="11C77B58" w14:textId="77777777" w:rsidR="00F61BEA" w:rsidRPr="00F61BEA" w:rsidRDefault="00F61BEA" w:rsidP="00F61BEA">
      <w:pPr>
        <w:spacing w:after="0" w:line="480" w:lineRule="auto"/>
        <w:ind w:firstLine="284"/>
        <w:rPr>
          <w:rFonts w:ascii="Times New Roman" w:hAnsi="Times New Roman" w:cs="Times New Roman"/>
          <w:sz w:val="24"/>
          <w:szCs w:val="24"/>
          <w:lang w:val="en-US"/>
        </w:rPr>
      </w:pPr>
      <w:bookmarkStart w:id="3" w:name="_Hlk86582345"/>
      <w:bookmarkEnd w:id="1"/>
      <w:r w:rsidRPr="00F61BEA">
        <w:rPr>
          <w:rFonts w:ascii="Times New Roman" w:hAnsi="Times New Roman" w:cs="Times New Roman"/>
          <w:sz w:val="24"/>
          <w:szCs w:val="24"/>
          <w:lang w:val="en-US"/>
        </w:rPr>
        <w:t>In many organisms, dispersal is a critical life stage because it governs how their populations shift or expand across space and over time. This is especially true for sedentary organisms such as fungi, corals, sponges, and plants, where dispersal of seeds or propagules is usually the only part of the life cycle in which movement of individuals occurs. However, despite its importance in governing the spatiotemporal dynamics of sessile species populations, dispersal is a poorly understood phenomenon. This is largely due to the fact that the complexity of dispersal patterns, potentially elusive dispersal vectors, small size of many propagules, and difficulty determining propagule fate (i.e. whether a propagule establishes or is destroyed) often make dispersal exceptionally challenging to properly measure, especially when the resources needed to do so are limited.</w:t>
      </w:r>
    </w:p>
    <w:p w14:paraId="2CD39571" w14:textId="77777777"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Despite the challenges associated with measuring dispersal, interest in dispersal processes over the past few decades has surged (Beckman &amp; Sullivan 2023), indicating increased scientific attention on measuring dispersal for a multitude of reasons (Shea 2007). Quantifying dispersal is a scientifically valuable endeavor because it can help us better understand propagule movement processes that are critical in invasion, range expansion, metapopulation dynamics, and other ecologically important processes involved in the spatiotemporal dynamics of populations and communities. Because estimates of dispersal are typically used to model these processes (e.g. Drees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2023; Kot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1996; Neubert &amp; Caswell 2000), properly quantifying dispersal is critical for accurately estimating how populations of a given species spread, including for species where quantifying spread is essential for management efforts. </w:t>
      </w:r>
    </w:p>
    <w:p w14:paraId="4C18EBEA" w14:textId="77777777"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One of the main challenges in measuring dispersal is that for a given species, there may be multiple modes of dispersal that must be quantified in order to fully understand how that species </w:t>
      </w:r>
      <w:r w:rsidRPr="00F61BEA">
        <w:rPr>
          <w:rFonts w:ascii="Times New Roman" w:hAnsi="Times New Roman" w:cs="Times New Roman"/>
          <w:sz w:val="24"/>
          <w:szCs w:val="24"/>
          <w:lang w:val="en-US"/>
        </w:rPr>
        <w:lastRenderedPageBreak/>
        <w:t xml:space="preserve">is dispersed. Dispersal pathways often exist in a variety of different configurations, typically in series (a </w:t>
      </w:r>
      <w:r w:rsidRPr="00F61BEA">
        <w:rPr>
          <w:rFonts w:ascii="Times New Roman" w:hAnsi="Times New Roman" w:cs="Times New Roman"/>
          <w:i/>
          <w:iCs/>
          <w:sz w:val="24"/>
          <w:szCs w:val="24"/>
          <w:lang w:val="en-US"/>
        </w:rPr>
        <w:t>primary dispersal</w:t>
      </w:r>
      <w:r w:rsidRPr="00F61BEA">
        <w:rPr>
          <w:rFonts w:ascii="Times New Roman" w:hAnsi="Times New Roman" w:cs="Times New Roman"/>
          <w:sz w:val="24"/>
          <w:szCs w:val="24"/>
          <w:lang w:val="en-US"/>
        </w:rPr>
        <w:t xml:space="preserve"> event followed by a </w:t>
      </w:r>
      <w:r w:rsidRPr="00F61BEA">
        <w:rPr>
          <w:rFonts w:ascii="Times New Roman" w:hAnsi="Times New Roman" w:cs="Times New Roman"/>
          <w:i/>
          <w:iCs/>
          <w:sz w:val="24"/>
          <w:szCs w:val="24"/>
          <w:lang w:val="en-US"/>
        </w:rPr>
        <w:t>secondary dispersal</w:t>
      </w:r>
      <w:r w:rsidRPr="00F61BEA">
        <w:rPr>
          <w:rFonts w:ascii="Times New Roman" w:hAnsi="Times New Roman" w:cs="Times New Roman"/>
          <w:sz w:val="24"/>
          <w:szCs w:val="24"/>
          <w:lang w:val="en-US"/>
        </w:rPr>
        <w:t xml:space="preserve"> event) or parallel (simultaneous dispersal events), with higher-order dispersal events possible depending on the organism’s dispersal ecology. In cases where dispersal is a complex assemblage of serial, parallel, and/or multi-order dispersal pathways facilitated by one or more vectors, rather than simply one first-order dispersal pathway driven by a single vector, quantifying all sources of dispersal can be extremely difficult. Assemblages like these are central to the idea of </w:t>
      </w:r>
      <w:r w:rsidRPr="00F61BEA">
        <w:rPr>
          <w:rFonts w:ascii="Times New Roman" w:hAnsi="Times New Roman" w:cs="Times New Roman"/>
          <w:i/>
          <w:iCs/>
          <w:sz w:val="24"/>
          <w:szCs w:val="24"/>
          <w:lang w:val="en-US"/>
        </w:rPr>
        <w:t>total dispersal</w:t>
      </w:r>
      <w:r w:rsidRPr="00F61BEA">
        <w:rPr>
          <w:rFonts w:ascii="Times New Roman" w:hAnsi="Times New Roman" w:cs="Times New Roman"/>
          <w:sz w:val="24"/>
          <w:szCs w:val="24"/>
          <w:lang w:val="en-US"/>
        </w:rPr>
        <w:t xml:space="preserve">, which considers dispersal via all possible pathways of dispersal in a particular system and considers all relevant dispersal vectors when quantifying dispersal distances (Nathan 2007; Rogers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2019). Each dispersal pathway and vector has its own distribution of dispersal distances; total dispersal involves combining all of these to examine the total distribution of dispersal distances for each vector across all pathways (i.e. the total dispersal kernel). Quantifying every dispersal pathway and vector within a system can help clarify how each one contributes to the overall dispersal process for a given species, and can help provide more accurate dispersal estimates. While possible in many sessile organisms, these multi-pathway or multi-vector dispersal configurations are particularly common in plants (e.g. Herrera &amp; Jordano 1981; Kalisz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1999; Ohkawara &amp; Higashi 1994; Schurr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2005).</w:t>
      </w:r>
    </w:p>
    <w:p w14:paraId="731F3E01" w14:textId="77777777"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Though the concept of total dispersal has received much attention in the recent dispersal literature, successfully quantifying multiple dispersal pathways is challenging. In a recent review on advances and future directions for total dispersal in plants, Rogers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(2019) describe three such challenges: finding the dispersal vector(s), measuring dispersal across the landscape, and measuring seed dispersal effectiveness. The first of these challenges is identifying all dispersal vectors involved, which can be difficult in systems with many dispersers. While some dispersal </w:t>
      </w:r>
      <w:r w:rsidRPr="00F61BEA">
        <w:rPr>
          <w:rFonts w:ascii="Times New Roman" w:hAnsi="Times New Roman" w:cs="Times New Roman"/>
          <w:sz w:val="24"/>
          <w:szCs w:val="24"/>
          <w:lang w:val="en-US"/>
        </w:rPr>
        <w:lastRenderedPageBreak/>
        <w:t xml:space="preserve">vectors can be observed directly, others such as small or nocturnal insects and animals may be difficult to detect. Next is the challenge of quantifying how far seeds travel from the parent plant. While techniques vary depending on how dispersal is measured (e.g. seed traps for seeds dispersed by wind, or analysis of scat for seeds dispersed by small mammals or birds), there are often difficulties with tracking seed dispersers across heterogeneous landscapes, or tracking the seeds themselves if they are small (Kempter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2018). This becomes even more difficult when attempting to quantify long-distance dispersal events, as these events are rare and extremely difficult to capture, yet may be extremely influential on how populations spread (Nathan 2006; Nathan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2003). Finally, there is the challenge of assessing seed fate (predation or dispersal), especially for seeds involved in any sort of insect or animal movement. Though insect- or animal-seed interactions are critical for dispersal and spread of many plant species, unfortunately, it is very difficult to tell what percentage of seeds moved are successfully dispersed and what percentage experience predation.</w:t>
      </w:r>
    </w:p>
    <w:p w14:paraId="109AAFF1" w14:textId="77777777"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While quantifying total dispersal in plants is already difficult, it may become even more challenging in the face of climate change, as changes in climatic factors could have profound effects on how populations spread by altering one or more of the individual dispersal pathways within the total dispersal framework. For example, in wind-dispersed plants, shifts in wind speeds may increase or decrease dispersal distances depending on the magnitude and direction of these shifts (Bullock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2012; Kling &amp; Ackerly 2020), increases in air temperatures can increase seed dispersal distances by increasing air turbulence (Kuparinen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2009), and increased frequency of extreme wind events may lead to long-distance dispersal events becoming more common (Soons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2004). Climate change may also shift plant dispersal patterns by changing the spatial patterns of the insects and animals that disperse their seeds (Mokany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w:t>
      </w:r>
      <w:r w:rsidRPr="00F61BEA">
        <w:rPr>
          <w:rFonts w:ascii="Times New Roman" w:hAnsi="Times New Roman" w:cs="Times New Roman"/>
          <w:sz w:val="24"/>
          <w:szCs w:val="24"/>
          <w:lang w:val="en-US"/>
        </w:rPr>
        <w:lastRenderedPageBreak/>
        <w:t xml:space="preserve">2014, 2015; Sales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2021), or by impacting seed attractiveness to dispersers (Drees &amp; Shea 2024a), both potentially causing shifts in total dispersal. In these cases, dispersal for a particular component of the total dispersal kernel is changed, and total dispersal is affected as a result. This in turn affects how far seeds are dispersed, and thus the speed at which the population in question spreads. When changes in even a single dispersal pathway or vector affect population spread, community structure and function may be significantly impacted.</w:t>
      </w:r>
    </w:p>
    <w:p w14:paraId="195C6288" w14:textId="77777777"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Given the challenges discussed above, quantifying total dispersal and incorporating it into models of population spread seems like an insurmountable task if we cannot accurately quantify all vectors of dispersal and their determinants, especially when in most cases the resources available to do so are limited. However, for some systems, not all parameters need to be known or accurately quantified to model how a system behaves (Milner-Gulland &amp; Shea 2017). In instances where most of the parameters within a particular dispersal system are known and spread can be modelled, sensitivity analyses can be used to explore the relative importance of parameters that are unknown. Should these unknown parameters have notable impacts on population spread, then omitting them or assuming their values is not reasonable; if they do not contribute much to population spread, however, then accurate estimation of these parameters is not critical and the limited resources that would otherwise be spent quantifying these parameters can be used more efficiently elsewhere.</w:t>
      </w:r>
    </w:p>
    <w:p w14:paraId="3A7FBA77" w14:textId="7BE777CF" w:rsidR="00072FF3" w:rsidRDefault="00F61BEA" w:rsidP="00F61BEA">
      <w:pPr>
        <w:spacing w:after="0" w:line="480" w:lineRule="auto"/>
        <w:ind w:firstLine="284"/>
        <w:rPr>
          <w:rFonts w:ascii="Times New Roman" w:hAnsi="Times New Roman" w:cs="Times New Roman"/>
          <w:sz w:val="24"/>
          <w:szCs w:val="24"/>
        </w:rPr>
      </w:pPr>
      <w:r w:rsidRPr="00F61BEA">
        <w:rPr>
          <w:rFonts w:ascii="Times New Roman" w:hAnsi="Times New Roman" w:cs="Times New Roman"/>
          <w:sz w:val="24"/>
          <w:szCs w:val="24"/>
          <w:lang w:val="en-US"/>
        </w:rPr>
        <w:t xml:space="preserve">Here, we apply this conceptual approach to a multi-vector dispersal system where one particular dispersal vector is poorly understood, and properly quantifying this dispersal vector is extremely challenging due to resource constraints. Using an individual-based spread model (Figure 1), we model population expansion in an invasive thistle species that experiences both primary dispersal via wind and secondary dispersal via ants; we then assess the relative </w:t>
      </w:r>
      <w:r w:rsidRPr="00F61BEA">
        <w:rPr>
          <w:rFonts w:ascii="Times New Roman" w:hAnsi="Times New Roman" w:cs="Times New Roman"/>
          <w:sz w:val="24"/>
          <w:szCs w:val="24"/>
          <w:lang w:val="en-US"/>
        </w:rPr>
        <w:lastRenderedPageBreak/>
        <w:t>importance of each dispersal pathway and their determinants, and identify where accurate parameter estimates are critical for correctly estimating spread. We further include an exploration of how spread rates are affected by climate change in the form of increased growing temperatures. Using this framework, we seek answers to three questions. First, how do spread rates estimated with both primary and secondary dispersal vectors compare to those estimated with only primary dispersal, and does one dispersal pathway have a larger influence on spread than the other under ambient conditions? Second, does the relative importance of dispersal pathways change under warmed conditions? Third, what are the relative contributions of the determinants of primary and secondary dispersal to projected spread rates?</w:t>
      </w:r>
    </w:p>
    <w:p w14:paraId="068FB960" w14:textId="038FB0D6" w:rsidR="00072FF3" w:rsidRPr="00B65D15" w:rsidRDefault="00072FF3" w:rsidP="004C2241">
      <w:pPr>
        <w:spacing w:after="0" w:line="480" w:lineRule="auto"/>
        <w:rPr>
          <w:rFonts w:ascii="Times New Roman" w:hAnsi="Times New Roman" w:cs="Times New Roman"/>
          <w:b/>
          <w:bCs/>
          <w:sz w:val="24"/>
          <w:szCs w:val="24"/>
          <w:lang w:val="en-US"/>
        </w:rPr>
      </w:pPr>
      <w:r w:rsidRPr="00B65D15">
        <w:rPr>
          <w:rFonts w:ascii="Times New Roman" w:hAnsi="Times New Roman" w:cs="Times New Roman"/>
          <w:b/>
          <w:bCs/>
          <w:sz w:val="24"/>
          <w:szCs w:val="24"/>
          <w:lang w:val="en-US"/>
        </w:rPr>
        <w:t xml:space="preserve">Methods and </w:t>
      </w:r>
      <w:r>
        <w:rPr>
          <w:rFonts w:ascii="Times New Roman" w:hAnsi="Times New Roman" w:cs="Times New Roman"/>
          <w:b/>
          <w:bCs/>
          <w:sz w:val="24"/>
          <w:szCs w:val="24"/>
          <w:lang w:val="en-US"/>
        </w:rPr>
        <w:t>m</w:t>
      </w:r>
      <w:r w:rsidRPr="00B65D15">
        <w:rPr>
          <w:rFonts w:ascii="Times New Roman" w:hAnsi="Times New Roman" w:cs="Times New Roman"/>
          <w:b/>
          <w:bCs/>
          <w:sz w:val="24"/>
          <w:szCs w:val="24"/>
          <w:lang w:val="en-US"/>
        </w:rPr>
        <w:t>aterials</w:t>
      </w:r>
    </w:p>
    <w:p w14:paraId="6CB22E3A" w14:textId="2CC1C92F" w:rsidR="00DB4305" w:rsidRPr="007C1F05" w:rsidRDefault="00DB4305" w:rsidP="004C2241">
      <w:pPr>
        <w:spacing w:after="0" w:line="480" w:lineRule="auto"/>
        <w:rPr>
          <w:rFonts w:ascii="Times New Roman" w:hAnsi="Times New Roman" w:cs="Times New Roman"/>
          <w:b/>
          <w:bCs/>
          <w:i/>
          <w:iCs/>
          <w:sz w:val="24"/>
          <w:szCs w:val="24"/>
        </w:rPr>
      </w:pPr>
      <w:r w:rsidRPr="00B72DCA">
        <w:rPr>
          <w:rFonts w:ascii="Times New Roman" w:hAnsi="Times New Roman" w:cs="Times New Roman"/>
          <w:b/>
          <w:bCs/>
          <w:i/>
          <w:iCs/>
          <w:sz w:val="24"/>
          <w:szCs w:val="24"/>
        </w:rPr>
        <w:t xml:space="preserve">Study </w:t>
      </w:r>
      <w:r w:rsidR="00B437A9" w:rsidRPr="00B72DCA">
        <w:rPr>
          <w:rFonts w:ascii="Times New Roman" w:hAnsi="Times New Roman" w:cs="Times New Roman"/>
          <w:b/>
          <w:bCs/>
          <w:i/>
          <w:iCs/>
          <w:sz w:val="24"/>
          <w:szCs w:val="24"/>
        </w:rPr>
        <w:t>s</w:t>
      </w:r>
      <w:r w:rsidRPr="00B72DCA">
        <w:rPr>
          <w:rFonts w:ascii="Times New Roman" w:hAnsi="Times New Roman" w:cs="Times New Roman"/>
          <w:b/>
          <w:bCs/>
          <w:i/>
          <w:iCs/>
          <w:sz w:val="24"/>
          <w:szCs w:val="24"/>
        </w:rPr>
        <w:t>pecies</w:t>
      </w:r>
    </w:p>
    <w:bookmarkEnd w:id="3"/>
    <w:p w14:paraId="634B680C" w14:textId="334D4C1D" w:rsidR="0002007B" w:rsidRDefault="00F61BEA" w:rsidP="004C2241">
      <w:pPr>
        <w:spacing w:after="0" w:line="480" w:lineRule="auto"/>
        <w:ind w:firstLine="284"/>
        <w:rPr>
          <w:rFonts w:ascii="Times New Roman" w:hAnsi="Times New Roman" w:cs="Times New Roman"/>
          <w:sz w:val="24"/>
          <w:szCs w:val="24"/>
        </w:rPr>
      </w:pPr>
      <w:r w:rsidRPr="00F61BEA">
        <w:rPr>
          <w:rFonts w:ascii="Times New Roman" w:hAnsi="Times New Roman" w:cs="Times New Roman"/>
          <w:i/>
          <w:iCs/>
          <w:sz w:val="24"/>
          <w:szCs w:val="24"/>
          <w:lang w:val="en-US"/>
        </w:rPr>
        <w:t xml:space="preserve">Carduus nutans </w:t>
      </w:r>
      <w:r w:rsidRPr="00F61BEA">
        <w:rPr>
          <w:rFonts w:ascii="Times New Roman" w:hAnsi="Times New Roman" w:cs="Times New Roman"/>
          <w:sz w:val="24"/>
          <w:szCs w:val="24"/>
          <w:lang w:val="en-US"/>
        </w:rPr>
        <w:t>L. is a</w:t>
      </w:r>
      <w:r w:rsidRPr="00F61BEA">
        <w:rPr>
          <w:rFonts w:ascii="Times New Roman" w:hAnsi="Times New Roman" w:cs="Times New Roman"/>
          <w:i/>
          <w:iCs/>
          <w:sz w:val="24"/>
          <w:szCs w:val="24"/>
          <w:lang w:val="en-US"/>
        </w:rPr>
        <w:t xml:space="preserve"> </w:t>
      </w:r>
      <w:r w:rsidRPr="00F61BEA">
        <w:rPr>
          <w:rFonts w:ascii="Times New Roman" w:hAnsi="Times New Roman" w:cs="Times New Roman"/>
          <w:sz w:val="24"/>
          <w:szCs w:val="24"/>
          <w:lang w:val="en-US"/>
        </w:rPr>
        <w:t xml:space="preserve">thistle in the Asteraceae family that is native to Eurasia and invasive across many parts of the world. This species is widely distributed across the United States, where it is considered an agricultural pest and is commonly listed as a noxious weed due to its high reproductive potential, strong success in disturbed areas, and low palatability to grazers (Skinner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2000). </w:t>
      </w:r>
      <w:r w:rsidRPr="00F61BEA">
        <w:rPr>
          <w:rFonts w:ascii="Times New Roman" w:hAnsi="Times New Roman" w:cs="Times New Roman"/>
          <w:i/>
          <w:iCs/>
          <w:sz w:val="24"/>
          <w:szCs w:val="24"/>
          <w:lang w:val="en-US"/>
        </w:rPr>
        <w:t xml:space="preserve">C. nutans </w:t>
      </w:r>
      <w:r w:rsidRPr="00F61BEA">
        <w:rPr>
          <w:rFonts w:ascii="Times New Roman" w:hAnsi="Times New Roman" w:cs="Times New Roman"/>
          <w:sz w:val="24"/>
          <w:szCs w:val="24"/>
          <w:lang w:val="en-US"/>
        </w:rPr>
        <w:t xml:space="preserve">reproduces exclusively by seed under a monocarpic perennial life cycle; bolting tends to occur in the early summer with reproduction later in the season (Zhang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2012), and while individuals often complete this cycle in approximately two years, germination and reproduction are more likely in a single year under warmed conditions (Keller &amp; Shea 2021). Seeds are primarily dispersed by wind, made possible by a lightweight pappus attached to the distal end of the seed achene; this pappus allows wind to carry the seeds over long distances, with seeds of </w:t>
      </w:r>
      <w:r w:rsidRPr="00F61BEA">
        <w:rPr>
          <w:rFonts w:ascii="Times New Roman" w:hAnsi="Times New Roman" w:cs="Times New Roman"/>
          <w:i/>
          <w:iCs/>
          <w:sz w:val="24"/>
          <w:szCs w:val="24"/>
          <w:lang w:val="en-US"/>
        </w:rPr>
        <w:t>C. nutans</w:t>
      </w:r>
      <w:r w:rsidRPr="00F61BEA">
        <w:rPr>
          <w:rFonts w:ascii="Times New Roman" w:hAnsi="Times New Roman" w:cs="Times New Roman"/>
          <w:sz w:val="24"/>
          <w:szCs w:val="24"/>
          <w:lang w:val="en-US"/>
        </w:rPr>
        <w:t xml:space="preserve"> having been detected up to 96 m from the parent plant (Skarpaas &amp; Shea 2007) and higher distances possible under extreme wind conditions. Evidence of secondary </w:t>
      </w:r>
      <w:r w:rsidRPr="00F61BEA">
        <w:rPr>
          <w:rFonts w:ascii="Times New Roman" w:hAnsi="Times New Roman" w:cs="Times New Roman"/>
          <w:sz w:val="24"/>
          <w:szCs w:val="24"/>
          <w:lang w:val="en-US"/>
        </w:rPr>
        <w:lastRenderedPageBreak/>
        <w:t xml:space="preserve">dispersal also exists in this species, as seeds contain nutrient-rich elaiosomes thought to play a role in facilitating ant-mediated movement (Pemberton &amp; Irving 1990), with previous studies demonstrating that ants transport these seeds (Drees &amp; Shea 2024a; Jongejans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2015).</w:t>
      </w:r>
    </w:p>
    <w:p w14:paraId="69D21105" w14:textId="4C3C7C16" w:rsidR="00CC7C15" w:rsidRDefault="00CC7C15" w:rsidP="004C2241">
      <w:pPr>
        <w:spacing w:after="0" w:line="480" w:lineRule="auto"/>
        <w:rPr>
          <w:rFonts w:ascii="Times New Roman" w:hAnsi="Times New Roman" w:cs="Times New Roman"/>
          <w:b/>
          <w:bCs/>
          <w:i/>
          <w:iCs/>
          <w:sz w:val="24"/>
          <w:szCs w:val="24"/>
        </w:rPr>
      </w:pPr>
      <w:r w:rsidRPr="00B512F8">
        <w:rPr>
          <w:rFonts w:ascii="Times New Roman" w:hAnsi="Times New Roman" w:cs="Times New Roman"/>
          <w:b/>
          <w:bCs/>
          <w:i/>
          <w:iCs/>
          <w:sz w:val="24"/>
          <w:szCs w:val="24"/>
        </w:rPr>
        <w:t xml:space="preserve">Demographic </w:t>
      </w:r>
      <w:r w:rsidR="00CC0BE4" w:rsidRPr="00B512F8">
        <w:rPr>
          <w:rFonts w:ascii="Times New Roman" w:hAnsi="Times New Roman" w:cs="Times New Roman"/>
          <w:b/>
          <w:bCs/>
          <w:i/>
          <w:iCs/>
          <w:sz w:val="24"/>
          <w:szCs w:val="24"/>
        </w:rPr>
        <w:t xml:space="preserve">data and </w:t>
      </w:r>
      <w:r w:rsidRPr="00B512F8">
        <w:rPr>
          <w:rFonts w:ascii="Times New Roman" w:hAnsi="Times New Roman" w:cs="Times New Roman"/>
          <w:b/>
          <w:bCs/>
          <w:i/>
          <w:iCs/>
          <w:sz w:val="24"/>
          <w:szCs w:val="24"/>
        </w:rPr>
        <w:t>models</w:t>
      </w:r>
    </w:p>
    <w:p w14:paraId="058A0C95" w14:textId="77777777"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i/>
          <w:iCs/>
          <w:sz w:val="24"/>
          <w:szCs w:val="24"/>
          <w:lang w:val="en-US"/>
        </w:rPr>
        <w:t xml:space="preserve">C. nutans </w:t>
      </w:r>
      <w:r w:rsidRPr="00F61BEA">
        <w:rPr>
          <w:rFonts w:ascii="Times New Roman" w:hAnsi="Times New Roman" w:cs="Times New Roman"/>
          <w:sz w:val="24"/>
          <w:szCs w:val="24"/>
          <w:lang w:val="en-US"/>
        </w:rPr>
        <w:t xml:space="preserve">demographic data were obtained from a population grown as part of a previous experiment by Drees and Shea (2024b), where the experimental setup is discussed in more detail. We repeat the salient details here for completeness. In this experiment, control and ambient warming treatments were applied to </w:t>
      </w:r>
      <w:r w:rsidRPr="00F61BEA">
        <w:rPr>
          <w:rFonts w:ascii="Times New Roman" w:hAnsi="Times New Roman" w:cs="Times New Roman"/>
          <w:i/>
          <w:iCs/>
          <w:sz w:val="24"/>
          <w:szCs w:val="24"/>
          <w:lang w:val="en-US"/>
        </w:rPr>
        <w:t>C. nutans</w:t>
      </w:r>
      <w:r w:rsidRPr="00F61BEA">
        <w:rPr>
          <w:rFonts w:ascii="Times New Roman" w:hAnsi="Times New Roman" w:cs="Times New Roman"/>
          <w:sz w:val="24"/>
          <w:szCs w:val="24"/>
          <w:lang w:val="en-US"/>
        </w:rPr>
        <w:t xml:space="preserve"> individuals to assess how increased growing temperatures approximately 0.6°C above ambient affect the distribution of flower head heights. Individuals in this experiment were each started from seeds, all of which were obtained from naturally occurring populations, in a greenhouse for approximately one month before transplant; after transplanting in the autumn, measurements on survival status and initial rosette diameter were captured, and were captured again in the spring before individuals bolted. During the reproductive period, flowering status was recorded, as were the heights of all flower heads on each individual. Some parameters including seed production, establishment rate, and several vital rates for seed bank dynamics were outside the scope of Drees and Shea (2024b) and could thus not be derived using the data therein; these parameters, necessary for constructing the population spread model, were instead sourced from similar experiments (Zhang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2011).</w:t>
      </w:r>
    </w:p>
    <w:p w14:paraId="77947AFB" w14:textId="31EB429D" w:rsidR="00A62C4A" w:rsidRPr="00A95848" w:rsidRDefault="00F61BEA" w:rsidP="00F61BEA">
      <w:pPr>
        <w:spacing w:after="0" w:line="480" w:lineRule="auto"/>
        <w:ind w:firstLine="284"/>
        <w:rPr>
          <w:rFonts w:ascii="Times New Roman" w:hAnsi="Times New Roman" w:cs="Times New Roman"/>
          <w:color w:val="222222"/>
          <w:sz w:val="24"/>
          <w:szCs w:val="24"/>
          <w:shd w:val="clear" w:color="auto" w:fill="FFFFFF"/>
        </w:rPr>
      </w:pPr>
      <w:r w:rsidRPr="00F61BEA">
        <w:rPr>
          <w:rFonts w:ascii="Times New Roman" w:hAnsi="Times New Roman" w:cs="Times New Roman"/>
          <w:sz w:val="24"/>
          <w:szCs w:val="24"/>
          <w:lang w:val="en-US"/>
        </w:rPr>
        <w:t xml:space="preserve">All analyses were performed in R version 4.2.2 (R Development Core Team 2022). Rosette size upon establishment, rosette growth, flower head count, and flower head height were each fit as linear mixed-effects models using </w:t>
      </w:r>
      <w:r w:rsidRPr="00F61BEA">
        <w:rPr>
          <w:rFonts w:ascii="Consolas" w:hAnsi="Consolas" w:cs="Times New Roman"/>
          <w:b/>
          <w:bCs/>
          <w:sz w:val="23"/>
          <w:szCs w:val="23"/>
          <w:lang w:val="en-US"/>
        </w:rPr>
        <w:t>lmer</w:t>
      </w:r>
      <w:r w:rsidRPr="00F61BEA">
        <w:rPr>
          <w:rFonts w:ascii="Times New Roman" w:hAnsi="Times New Roman" w:cs="Times New Roman"/>
          <w:sz w:val="24"/>
          <w:szCs w:val="24"/>
          <w:lang w:val="en-US"/>
        </w:rPr>
        <w:t xml:space="preserve"> from the package </w:t>
      </w:r>
      <w:r w:rsidRPr="00F61BEA">
        <w:rPr>
          <w:rFonts w:ascii="Consolas" w:hAnsi="Consolas" w:cs="Times New Roman"/>
          <w:b/>
          <w:bCs/>
          <w:sz w:val="23"/>
          <w:szCs w:val="23"/>
          <w:lang w:val="en-US"/>
        </w:rPr>
        <w:t>lme4</w:t>
      </w:r>
      <w:r w:rsidRPr="00F61BEA">
        <w:rPr>
          <w:rFonts w:ascii="Times New Roman" w:hAnsi="Times New Roman" w:cs="Times New Roman"/>
          <w:sz w:val="24"/>
          <w:szCs w:val="24"/>
          <w:lang w:val="en-US"/>
        </w:rPr>
        <w:t xml:space="preserve"> version 1.1-31 (Bates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2022); these models are described in greater detail in Appendix </w:t>
      </w:r>
      <w:r w:rsidR="00BC492F">
        <w:rPr>
          <w:rFonts w:ascii="Times New Roman" w:hAnsi="Times New Roman" w:cs="Times New Roman"/>
          <w:sz w:val="24"/>
          <w:szCs w:val="24"/>
          <w:lang w:val="en-US"/>
        </w:rPr>
        <w:t>S1</w:t>
      </w:r>
      <w:r w:rsidRPr="00F61BEA">
        <w:rPr>
          <w:rFonts w:ascii="Times New Roman" w:hAnsi="Times New Roman" w:cs="Times New Roman"/>
          <w:sz w:val="24"/>
          <w:szCs w:val="24"/>
          <w:lang w:val="en-US"/>
        </w:rPr>
        <w:t xml:space="preserve">, with parameter estimates in </w:t>
      </w:r>
      <w:r w:rsidR="00BC492F" w:rsidRPr="00F61BEA">
        <w:rPr>
          <w:rFonts w:ascii="Times New Roman" w:hAnsi="Times New Roman" w:cs="Times New Roman"/>
          <w:sz w:val="24"/>
          <w:szCs w:val="24"/>
          <w:lang w:val="en-US"/>
        </w:rPr>
        <w:t xml:space="preserve">Appendix </w:t>
      </w:r>
      <w:r w:rsidR="00BC492F">
        <w:rPr>
          <w:rFonts w:ascii="Times New Roman" w:hAnsi="Times New Roman" w:cs="Times New Roman"/>
          <w:sz w:val="24"/>
          <w:szCs w:val="24"/>
          <w:lang w:val="en-US"/>
        </w:rPr>
        <w:t>S1</w:t>
      </w:r>
      <w:r w:rsidR="00BC492F" w:rsidRPr="00F61BEA">
        <w:rPr>
          <w:rFonts w:ascii="Times New Roman" w:hAnsi="Times New Roman" w:cs="Times New Roman"/>
          <w:sz w:val="24"/>
          <w:szCs w:val="24"/>
          <w:lang w:val="en-US"/>
        </w:rPr>
        <w:t>,</w:t>
      </w:r>
      <w:r w:rsidR="00BC492F">
        <w:rPr>
          <w:rFonts w:ascii="Times New Roman" w:hAnsi="Times New Roman" w:cs="Times New Roman"/>
          <w:sz w:val="24"/>
          <w:szCs w:val="24"/>
          <w:lang w:val="en-US"/>
        </w:rPr>
        <w:t xml:space="preserve"> </w:t>
      </w:r>
      <w:r w:rsidRPr="00F61BEA">
        <w:rPr>
          <w:rFonts w:ascii="Times New Roman" w:hAnsi="Times New Roman" w:cs="Times New Roman"/>
          <w:sz w:val="24"/>
          <w:szCs w:val="24"/>
          <w:lang w:val="en-US"/>
        </w:rPr>
        <w:t xml:space="preserve">Table </w:t>
      </w:r>
      <w:r w:rsidR="00BC492F">
        <w:rPr>
          <w:rFonts w:ascii="Times New Roman" w:hAnsi="Times New Roman" w:cs="Times New Roman"/>
          <w:sz w:val="24"/>
          <w:szCs w:val="24"/>
          <w:lang w:val="en-US"/>
        </w:rPr>
        <w:t>S1</w:t>
      </w:r>
      <w:r w:rsidRPr="00F61BEA">
        <w:rPr>
          <w:rFonts w:ascii="Times New Roman" w:hAnsi="Times New Roman" w:cs="Times New Roman"/>
          <w:sz w:val="24"/>
          <w:szCs w:val="24"/>
          <w:lang w:val="en-US"/>
        </w:rPr>
        <w:t xml:space="preserve">. For most of these models, a plot-averaged Gaussian response was fit </w:t>
      </w:r>
      <w:r w:rsidRPr="00F61BEA">
        <w:rPr>
          <w:rFonts w:ascii="Times New Roman" w:hAnsi="Times New Roman" w:cs="Times New Roman"/>
          <w:sz w:val="24"/>
          <w:szCs w:val="24"/>
          <w:lang w:val="en-US"/>
        </w:rPr>
        <w:lastRenderedPageBreak/>
        <w:t xml:space="preserve">using warming treatment and rosette size as fixed effects (including an interaction between the two) and experimental block as a random effect. Model selection was then performed for each model by removing terms to minimize Akaike’s information criterion (AIC). These models, when used in spread rate simulations, had both deterministic and stochastic components; the former consisted of the model intercept and fixed effects (where applicable), and the latter of a normally distributed term with a mean of zero and standard deviation derived from model errors. Such stochastic terms allowed us to better capture demographic variation within our simulations. Post-establishment survival and bolting/flowering rates were estimated as flat rates since almost all individuals survived and flowered, reaching senescence at the end of the following summer. Other parameters such as establishment from seed, seed survival in the seed bank, and entry into the seed bank were also modelled as flat rates; these parameters, sourced from Zhang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(2011), are discussed in greater detail in Appendix </w:t>
      </w:r>
      <w:r w:rsidR="00BC492F">
        <w:rPr>
          <w:rFonts w:ascii="Times New Roman" w:hAnsi="Times New Roman" w:cs="Times New Roman"/>
          <w:sz w:val="24"/>
          <w:szCs w:val="24"/>
          <w:lang w:val="en-US"/>
        </w:rPr>
        <w:t>S1</w:t>
      </w:r>
      <w:r w:rsidRPr="00F61BEA">
        <w:rPr>
          <w:rFonts w:ascii="Times New Roman" w:hAnsi="Times New Roman" w:cs="Times New Roman"/>
          <w:sz w:val="24"/>
          <w:szCs w:val="24"/>
          <w:lang w:val="en-US"/>
        </w:rPr>
        <w:t>. Most flat rate parameters were expressed stochastically by using the rate as the probability of occurrence under which binary events were simulated.</w:t>
      </w:r>
      <w:r w:rsidR="00C65E07">
        <w:rPr>
          <w:rFonts w:ascii="Times New Roman" w:hAnsi="Times New Roman" w:cs="Times New Roman"/>
          <w:sz w:val="24"/>
          <w:szCs w:val="24"/>
        </w:rPr>
        <w:t xml:space="preserve"> </w:t>
      </w:r>
    </w:p>
    <w:p w14:paraId="4567E2E7" w14:textId="2E5110AB" w:rsidR="001317F8" w:rsidRPr="004174DB" w:rsidRDefault="001317F8" w:rsidP="004C2241">
      <w:pPr>
        <w:spacing w:after="0" w:line="480" w:lineRule="auto"/>
        <w:rPr>
          <w:rFonts w:ascii="Times New Roman" w:hAnsi="Times New Roman" w:cs="Times New Roman"/>
          <w:b/>
          <w:bCs/>
          <w:i/>
          <w:iCs/>
          <w:sz w:val="24"/>
          <w:szCs w:val="24"/>
        </w:rPr>
      </w:pPr>
      <w:commentRangeStart w:id="4"/>
      <w:commentRangeStart w:id="5"/>
      <w:r w:rsidRPr="004174DB">
        <w:rPr>
          <w:rFonts w:ascii="Times New Roman" w:hAnsi="Times New Roman" w:cs="Times New Roman"/>
          <w:b/>
          <w:bCs/>
          <w:i/>
          <w:iCs/>
          <w:sz w:val="24"/>
          <w:szCs w:val="24"/>
        </w:rPr>
        <w:t>Dispersal</w:t>
      </w:r>
      <w:r w:rsidR="00CC0BE4" w:rsidRPr="004174DB">
        <w:rPr>
          <w:rFonts w:ascii="Times New Roman" w:hAnsi="Times New Roman" w:cs="Times New Roman"/>
          <w:b/>
          <w:bCs/>
          <w:i/>
          <w:iCs/>
          <w:sz w:val="24"/>
          <w:szCs w:val="24"/>
        </w:rPr>
        <w:t xml:space="preserve"> data and</w:t>
      </w:r>
      <w:r w:rsidRPr="004174DB">
        <w:rPr>
          <w:rFonts w:ascii="Times New Roman" w:hAnsi="Times New Roman" w:cs="Times New Roman"/>
          <w:b/>
          <w:bCs/>
          <w:i/>
          <w:iCs/>
          <w:sz w:val="24"/>
          <w:szCs w:val="24"/>
        </w:rPr>
        <w:t xml:space="preserve"> models</w:t>
      </w:r>
    </w:p>
    <w:p w14:paraId="3D78938E" w14:textId="4DDF5FD6" w:rsidR="001317F8" w:rsidRPr="004174DB" w:rsidRDefault="00F61BEA" w:rsidP="004C2241">
      <w:pPr>
        <w:spacing w:after="0" w:line="480" w:lineRule="auto"/>
        <w:ind w:firstLine="284"/>
        <w:rPr>
          <w:rFonts w:ascii="Times New Roman" w:hAnsi="Times New Roman" w:cs="Times New Roman"/>
          <w:sz w:val="24"/>
          <w:szCs w:val="24"/>
        </w:rPr>
      </w:pPr>
      <w:r w:rsidRPr="00F61BEA">
        <w:rPr>
          <w:rFonts w:ascii="Times New Roman" w:hAnsi="Times New Roman" w:cs="Times New Roman"/>
          <w:sz w:val="24"/>
          <w:szCs w:val="24"/>
          <w:lang w:val="en-US"/>
        </w:rPr>
        <w:t xml:space="preserve">Only a proportion of seeds within each flower head were released for wind dispersal (Teller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2016); seeds not released were assumed to travel zero distance, representing peduncle decay such that flower heads drop to the ground with remaining seeds intact. For the seeds that were released, wind dispersal events were modelled using the Wald analytical long-distance dispersal (WALD) model, a mechanistic fluid dynamics model that uses various factors such as wind speed and seed terminal velocity to quantify the probability distribution of propagule dispersal distances. Under several simplifying assumptions discussed in greater detail by Katul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(2005), this model can be expressed as an inverse Gaussian dispersal kernel of the form</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4252"/>
        <w:gridCol w:w="2551"/>
      </w:tblGrid>
      <w:tr w:rsidR="008D796B" w:rsidRPr="004174DB" w14:paraId="22B32590" w14:textId="77777777" w:rsidTr="00B17AC6">
        <w:tc>
          <w:tcPr>
            <w:tcW w:w="2439" w:type="dxa"/>
          </w:tcPr>
          <w:p w14:paraId="1B53219B" w14:textId="77777777" w:rsidR="008D796B" w:rsidRPr="004174DB" w:rsidRDefault="008D796B" w:rsidP="004C2241">
            <w:pPr>
              <w:spacing w:after="120" w:line="480" w:lineRule="auto"/>
              <w:jc w:val="both"/>
              <w:rPr>
                <w:rFonts w:ascii="Times New Roman" w:eastAsiaTheme="minorEastAsia" w:hAnsi="Times New Roman" w:cs="Times New Roman"/>
                <w:sz w:val="24"/>
                <w:szCs w:val="24"/>
              </w:rPr>
            </w:pPr>
          </w:p>
        </w:tc>
        <w:tc>
          <w:tcPr>
            <w:tcW w:w="4252" w:type="dxa"/>
            <w:vAlign w:val="center"/>
          </w:tcPr>
          <w:p w14:paraId="5F3CFCB1" w14:textId="13AE9D57" w:rsidR="008D796B" w:rsidRPr="004174DB" w:rsidRDefault="008D796B" w:rsidP="004C2241">
            <w:pPr>
              <w:spacing w:after="120"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num>
                          <m:den>
                            <m:r>
                              <w:rPr>
                                <w:rFonts w:ascii="Cambria Math" w:hAnsi="Cambria Math" w:cs="Times New Roman"/>
                                <w:sz w:val="24"/>
                                <w:szCs w:val="24"/>
                              </w:rPr>
                              <m:t>2π</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3</m:t>
                                </m:r>
                              </m:sup>
                            </m:sSup>
                          </m:den>
                        </m:f>
                      </m:e>
                    </m:d>
                  </m:e>
                  <m:sup>
                    <m:r>
                      <w:rPr>
                        <w:rFonts w:ascii="Cambria Math" w:hAnsi="Cambria Math" w:cs="Times New Roman"/>
                        <w:sz w:val="24"/>
                        <w:szCs w:val="24"/>
                      </w:rPr>
                      <m:t>1/2</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begChr m:val="["/>
                        <m:endChr m:val="]"/>
                        <m:ctrlPr>
                          <w:rPr>
                            <w:rFonts w:ascii="Cambria Math" w:hAnsi="Cambria Math" w:cs="Times New Roman"/>
                            <w:i/>
                            <w:sz w:val="24"/>
                            <w:szCs w:val="24"/>
                          </w:rPr>
                        </m:ctrlPr>
                      </m:dPr>
                      <m:e>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r-</m:t>
                                    </m:r>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d>
                              </m:e>
                              <m:sup>
                                <m:r>
                                  <w:rPr>
                                    <w:rFonts w:ascii="Cambria Math" w:hAnsi="Cambria Math" w:cs="Times New Roman"/>
                                    <w:sz w:val="24"/>
                                    <w:szCs w:val="24"/>
                                  </w:rPr>
                                  <m:t>2</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sup>
                                <m:r>
                                  <w:rPr>
                                    <w:rFonts w:ascii="Cambria Math" w:hAnsi="Cambria Math" w:cs="Times New Roman"/>
                                    <w:sz w:val="24"/>
                                    <w:szCs w:val="24"/>
                                  </w:rPr>
                                  <m:t>2</m:t>
                                </m:r>
                              </m:sup>
                            </m:sSup>
                            <m:r>
                              <m:rPr>
                                <m:sty m:val="p"/>
                              </m:rPr>
                              <w:rPr>
                                <w:rFonts w:ascii="Cambria Math" w:hAnsi="Cambria Math" w:cs="Times New Roman"/>
                                <w:sz w:val="24"/>
                                <w:szCs w:val="24"/>
                              </w:rPr>
                              <m:t>r</m:t>
                            </m:r>
                          </m:den>
                        </m:f>
                      </m:e>
                    </m:d>
                  </m:e>
                </m:func>
              </m:oMath>
            </m:oMathPara>
          </w:p>
        </w:tc>
        <w:tc>
          <w:tcPr>
            <w:tcW w:w="2551" w:type="dxa"/>
            <w:vAlign w:val="center"/>
          </w:tcPr>
          <w:p w14:paraId="41B6F3C8" w14:textId="6F0AF37C" w:rsidR="008D796B" w:rsidRPr="004174DB" w:rsidRDefault="008D796B" w:rsidP="004C2241">
            <w:pPr>
              <w:spacing w:after="120" w:line="480" w:lineRule="auto"/>
              <w:jc w:val="right"/>
              <w:rPr>
                <w:rFonts w:ascii="Times New Roman" w:eastAsiaTheme="minorEastAsia" w:hAnsi="Times New Roman" w:cs="Times New Roman"/>
                <w:sz w:val="24"/>
                <w:szCs w:val="24"/>
              </w:rPr>
            </w:pPr>
            <w:r w:rsidRPr="004174DB">
              <w:rPr>
                <w:rFonts w:ascii="Times New Roman" w:eastAsiaTheme="minorEastAsia" w:hAnsi="Times New Roman" w:cs="Times New Roman"/>
                <w:sz w:val="24"/>
                <w:szCs w:val="24"/>
              </w:rPr>
              <w:t>[1]</w:t>
            </w:r>
          </w:p>
        </w:tc>
      </w:tr>
    </w:tbl>
    <w:p w14:paraId="7A569B8B" w14:textId="36C80E9F" w:rsidR="00F61BEA" w:rsidRPr="00F61BEA" w:rsidRDefault="00F61BEA" w:rsidP="00F61BEA">
      <w:pPr>
        <w:spacing w:after="0" w:line="480" w:lineRule="auto"/>
        <w:rPr>
          <w:rFonts w:ascii="Times New Roman" w:eastAsiaTheme="minorEastAsia" w:hAnsi="Times New Roman" w:cs="Times New Roman"/>
          <w:sz w:val="24"/>
          <w:szCs w:val="24"/>
          <w:lang w:val="en-US"/>
        </w:rPr>
      </w:pPr>
      <w:r w:rsidRPr="00F61BEA">
        <w:rPr>
          <w:rFonts w:ascii="Times New Roman" w:eastAsiaTheme="minorEastAsia" w:hAnsi="Times New Roman" w:cs="Times New Roman"/>
          <w:sz w:val="24"/>
          <w:szCs w:val="24"/>
          <w:lang w:val="en-US"/>
        </w:rPr>
        <w:t xml:space="preserve">where </w:t>
      </w:r>
      <m:oMath>
        <m:r>
          <w:rPr>
            <w:rFonts w:ascii="Cambria Math" w:eastAsiaTheme="minorEastAsia" w:hAnsi="Cambria Math" w:cs="Times New Roman"/>
            <w:sz w:val="24"/>
            <w:szCs w:val="24"/>
            <w:lang w:val="en-US"/>
          </w:rPr>
          <m:t>r</m:t>
        </m:r>
      </m:oMath>
      <w:r w:rsidRPr="00F61BEA">
        <w:rPr>
          <w:rFonts w:ascii="Times New Roman" w:eastAsiaTheme="minorEastAsia" w:hAnsi="Times New Roman" w:cs="Times New Roman"/>
          <w:sz w:val="24"/>
          <w:szCs w:val="24"/>
          <w:lang w:val="en-US"/>
        </w:rPr>
        <w:t xml:space="preserve"> denotes distance from the point of seed release. The quantity </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λ</m:t>
            </m:r>
          </m:e>
          <m:sup>
            <m:r>
              <w:rPr>
                <w:rFonts w:ascii="Cambria Math" w:eastAsiaTheme="minorEastAsia" w:hAnsi="Cambria Math" w:cs="Times New Roman"/>
                <w:sz w:val="24"/>
                <w:szCs w:val="24"/>
                <w:lang w:val="en-US"/>
              </w:rPr>
              <m:t>'</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(H/σ)</m:t>
            </m:r>
          </m:e>
          <m:sup>
            <m:r>
              <w:rPr>
                <w:rFonts w:ascii="Cambria Math" w:eastAsiaTheme="minorEastAsia" w:hAnsi="Cambria Math" w:cs="Times New Roman"/>
                <w:sz w:val="24"/>
                <w:szCs w:val="24"/>
                <w:lang w:val="en-US"/>
              </w:rPr>
              <m:t>2</m:t>
            </m:r>
          </m:sup>
        </m:sSup>
      </m:oMath>
      <w:r w:rsidRPr="00F61BEA">
        <w:rPr>
          <w:rFonts w:ascii="Times New Roman" w:eastAsiaTheme="minorEastAsia" w:hAnsi="Times New Roman" w:cs="Times New Roman"/>
          <w:sz w:val="24"/>
          <w:szCs w:val="24"/>
          <w:lang w:val="en-US"/>
        </w:rPr>
        <w:t xml:space="preserve"> represents a location parameter while </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μ</m:t>
            </m:r>
          </m:e>
          <m:sup>
            <m:r>
              <w:rPr>
                <w:rFonts w:ascii="Cambria Math" w:eastAsiaTheme="minorEastAsia" w:hAnsi="Cambria Math" w:cs="Times New Roman"/>
                <w:sz w:val="24"/>
                <w:szCs w:val="24"/>
                <w:lang w:val="en-US"/>
              </w:rPr>
              <m:t>'</m:t>
            </m:r>
          </m:sup>
        </m:sSup>
        <m:r>
          <w:rPr>
            <w:rFonts w:ascii="Cambria Math" w:eastAsiaTheme="minorEastAsia" w:hAnsi="Cambria Math" w:cs="Times New Roman"/>
            <w:sz w:val="24"/>
            <w:szCs w:val="24"/>
            <w:lang w:val="en-US"/>
          </w:rPr>
          <m:t>=HU/F</m:t>
        </m:r>
      </m:oMath>
      <w:r w:rsidRPr="00F61BEA">
        <w:rPr>
          <w:rFonts w:ascii="Times New Roman" w:eastAsiaTheme="minorEastAsia" w:hAnsi="Times New Roman" w:cs="Times New Roman"/>
          <w:sz w:val="24"/>
          <w:szCs w:val="24"/>
          <w:lang w:val="en-US"/>
        </w:rPr>
        <w:t xml:space="preserve"> represents a scale parameter, calculated using functions of seed terminal velocity </w:t>
      </w:r>
      <m:oMath>
        <m:r>
          <w:rPr>
            <w:rFonts w:ascii="Cambria Math" w:eastAsiaTheme="minorEastAsia" w:hAnsi="Cambria Math" w:cs="Times New Roman"/>
            <w:sz w:val="24"/>
            <w:szCs w:val="24"/>
            <w:lang w:val="en-US"/>
          </w:rPr>
          <m:t>F</m:t>
        </m:r>
      </m:oMath>
      <w:r w:rsidRPr="00F61BEA">
        <w:rPr>
          <w:rFonts w:ascii="Times New Roman" w:eastAsiaTheme="minorEastAsia" w:hAnsi="Times New Roman" w:cs="Times New Roman"/>
          <w:sz w:val="24"/>
          <w:szCs w:val="24"/>
          <w:lang w:val="en-US"/>
        </w:rPr>
        <w:t xml:space="preserve"> and release height </w:t>
      </w:r>
      <m:oMath>
        <m:r>
          <w:rPr>
            <w:rFonts w:ascii="Cambria Math" w:eastAsiaTheme="minorEastAsia" w:hAnsi="Cambria Math" w:cs="Times New Roman"/>
            <w:sz w:val="24"/>
            <w:szCs w:val="24"/>
            <w:lang w:val="en-US"/>
          </w:rPr>
          <m:t>H</m:t>
        </m:r>
      </m:oMath>
      <w:r w:rsidRPr="00F61BEA">
        <w:rPr>
          <w:rFonts w:ascii="Times New Roman" w:eastAsiaTheme="minorEastAsia" w:hAnsi="Times New Roman" w:cs="Times New Roman"/>
          <w:sz w:val="24"/>
          <w:szCs w:val="24"/>
          <w:lang w:val="en-US"/>
        </w:rPr>
        <w:t xml:space="preserve">, wind speed </w:t>
      </w:r>
      <m:oMath>
        <m:r>
          <w:rPr>
            <w:rFonts w:ascii="Cambria Math" w:eastAsiaTheme="minorEastAsia" w:hAnsi="Cambria Math" w:cs="Times New Roman"/>
            <w:sz w:val="24"/>
            <w:szCs w:val="24"/>
            <w:lang w:val="en-US"/>
          </w:rPr>
          <m:t>U</m:t>
        </m:r>
      </m:oMath>
      <w:r w:rsidRPr="00F61BEA">
        <w:rPr>
          <w:rFonts w:ascii="Times New Roman" w:eastAsiaTheme="minorEastAsia" w:hAnsi="Times New Roman" w:cs="Times New Roman"/>
          <w:sz w:val="24"/>
          <w:szCs w:val="24"/>
          <w:lang w:val="en-US"/>
        </w:rPr>
        <w:t xml:space="preserve">, and turbulent flow parameter </w:t>
      </w:r>
      <m:oMath>
        <m:r>
          <w:rPr>
            <w:rFonts w:ascii="Cambria Math" w:eastAsiaTheme="minorEastAsia" w:hAnsi="Cambria Math" w:cs="Times New Roman"/>
            <w:sz w:val="24"/>
            <w:szCs w:val="24"/>
            <w:lang w:val="en-US"/>
          </w:rPr>
          <m:t>σ</m:t>
        </m:r>
      </m:oMath>
      <w:r w:rsidRPr="00F61BEA">
        <w:rPr>
          <w:rFonts w:ascii="Times New Roman" w:eastAsiaTheme="minorEastAsia" w:hAnsi="Times New Roman" w:cs="Times New Roman"/>
          <w:sz w:val="24"/>
          <w:szCs w:val="24"/>
          <w:lang w:val="en-US"/>
        </w:rPr>
        <w:t xml:space="preserve">. Additional information on how the WALD model can be used in </w:t>
      </w:r>
      <w:r w:rsidRPr="00F61BEA">
        <w:rPr>
          <w:rFonts w:ascii="Times New Roman" w:eastAsiaTheme="minorEastAsia" w:hAnsi="Times New Roman" w:cs="Times New Roman"/>
          <w:i/>
          <w:iCs/>
          <w:sz w:val="24"/>
          <w:szCs w:val="24"/>
          <w:lang w:val="en-US"/>
        </w:rPr>
        <w:t xml:space="preserve">C. nutans, </w:t>
      </w:r>
      <w:r w:rsidRPr="00F61BEA">
        <w:rPr>
          <w:rFonts w:ascii="Times New Roman" w:eastAsiaTheme="minorEastAsia" w:hAnsi="Times New Roman" w:cs="Times New Roman"/>
          <w:sz w:val="24"/>
          <w:szCs w:val="24"/>
          <w:lang w:val="en-US"/>
        </w:rPr>
        <w:t xml:space="preserve">as well as necessary corrections for wind speed at different seed release heights, can be found in prior publications (e.g. Drees &amp; Shea 2024b; Skarpaas &amp; Shea 2007; Skarpaas </w:t>
      </w:r>
      <w:r w:rsidRPr="00F61BEA">
        <w:rPr>
          <w:rFonts w:ascii="Times New Roman" w:eastAsiaTheme="minorEastAsia" w:hAnsi="Times New Roman" w:cs="Times New Roman"/>
          <w:i/>
          <w:iCs/>
          <w:sz w:val="24"/>
          <w:szCs w:val="24"/>
          <w:lang w:val="en-US"/>
        </w:rPr>
        <w:t>et al</w:t>
      </w:r>
      <w:r w:rsidRPr="00F61BEA">
        <w:rPr>
          <w:rFonts w:ascii="Times New Roman" w:eastAsiaTheme="minorEastAsia" w:hAnsi="Times New Roman" w:cs="Times New Roman"/>
          <w:sz w:val="24"/>
          <w:szCs w:val="24"/>
          <w:lang w:val="en-US"/>
        </w:rPr>
        <w:t xml:space="preserve">. 2011). </w:t>
      </w:r>
    </w:p>
    <w:p w14:paraId="7EC2E7E5" w14:textId="679A24AC" w:rsidR="001317F8" w:rsidRPr="009A0457" w:rsidRDefault="00F61BEA" w:rsidP="00F61BEA">
      <w:pPr>
        <w:spacing w:after="0" w:line="480" w:lineRule="auto"/>
        <w:ind w:firstLine="284"/>
        <w:rPr>
          <w:rFonts w:ascii="Times New Roman" w:eastAsiaTheme="minorEastAsia" w:hAnsi="Times New Roman" w:cs="Times New Roman"/>
          <w:sz w:val="24"/>
          <w:szCs w:val="24"/>
        </w:rPr>
      </w:pPr>
      <w:r w:rsidRPr="00F61BEA">
        <w:rPr>
          <w:rFonts w:ascii="Times New Roman" w:eastAsiaTheme="minorEastAsia" w:hAnsi="Times New Roman" w:cs="Times New Roman"/>
          <w:sz w:val="24"/>
          <w:szCs w:val="24"/>
          <w:lang w:val="en-US"/>
        </w:rPr>
        <w:t>Given the WALD model is typically evaluated using mean wind speed and terminal velocity, it may not capture the full range of possible dispersal distances in instances where variation in these parameters is substantial. As such, we designed our dispersal models to capture variation in wind speeds and seed terminal velocities so that for a given seed release height, the distribution of wind-driven dispersal distances was computed as a Monte Carlo estimate of the kernel</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8"/>
        <w:gridCol w:w="5367"/>
        <w:gridCol w:w="2057"/>
      </w:tblGrid>
      <w:tr w:rsidR="008D796B" w:rsidRPr="009A0457" w14:paraId="01CBE8B5" w14:textId="77777777" w:rsidTr="00F61BEA">
        <w:tc>
          <w:tcPr>
            <w:tcW w:w="1828" w:type="dxa"/>
          </w:tcPr>
          <w:p w14:paraId="1302B4DB" w14:textId="77777777" w:rsidR="008D796B" w:rsidRPr="009A0457" w:rsidRDefault="008D796B" w:rsidP="004C2241">
            <w:pPr>
              <w:spacing w:line="480" w:lineRule="auto"/>
              <w:jc w:val="both"/>
              <w:rPr>
                <w:rFonts w:ascii="Times New Roman" w:eastAsiaTheme="minorEastAsia" w:hAnsi="Times New Roman" w:cs="Times New Roman"/>
                <w:sz w:val="24"/>
                <w:szCs w:val="24"/>
              </w:rPr>
            </w:pPr>
          </w:p>
        </w:tc>
        <w:tc>
          <w:tcPr>
            <w:tcW w:w="5367" w:type="dxa"/>
            <w:vAlign w:val="center"/>
          </w:tcPr>
          <w:p w14:paraId="69E0FFCF" w14:textId="12F53151" w:rsidR="008D796B" w:rsidRPr="009A0457" w:rsidRDefault="008D796B" w:rsidP="004C2241">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F</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U</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r,F,U</m:t>
                        </m:r>
                      </m:e>
                    </m:d>
                    <m:r>
                      <w:rPr>
                        <w:rFonts w:ascii="Cambria Math" w:hAnsi="Cambria Math" w:cs="Times New Roman"/>
                        <w:sz w:val="24"/>
                        <w:szCs w:val="24"/>
                      </w:rPr>
                      <m:t xml:space="preserve"> dFdU</m:t>
                    </m:r>
                  </m:e>
                </m:nary>
              </m:oMath>
            </m:oMathPara>
          </w:p>
        </w:tc>
        <w:tc>
          <w:tcPr>
            <w:tcW w:w="2057" w:type="dxa"/>
            <w:vAlign w:val="center"/>
          </w:tcPr>
          <w:p w14:paraId="77C2A8A0" w14:textId="2FA4E3B9" w:rsidR="008D796B" w:rsidRPr="009A0457" w:rsidRDefault="008D796B" w:rsidP="004C2241">
            <w:pPr>
              <w:spacing w:line="480" w:lineRule="auto"/>
              <w:jc w:val="right"/>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[2]</w:t>
            </w:r>
          </w:p>
        </w:tc>
      </w:tr>
    </w:tbl>
    <w:commentRangeEnd w:id="4"/>
    <w:p w14:paraId="1327E2B0" w14:textId="2617FECF" w:rsidR="00F61BEA" w:rsidRPr="00F61BEA" w:rsidRDefault="003D7406" w:rsidP="00F61BEA">
      <w:pPr>
        <w:spacing w:after="0" w:line="480" w:lineRule="auto"/>
        <w:rPr>
          <w:rFonts w:ascii="Times New Roman" w:eastAsiaTheme="minorEastAsia" w:hAnsi="Times New Roman" w:cs="Times New Roman"/>
          <w:sz w:val="24"/>
          <w:szCs w:val="24"/>
          <w:lang w:val="en-US"/>
        </w:rPr>
      </w:pPr>
      <w:r w:rsidRPr="00F61BEA">
        <w:rPr>
          <w:rStyle w:val="CommentReference"/>
          <w:rFonts w:ascii="Times New Roman" w:eastAsiaTheme="minorEastAsia" w:hAnsi="Times New Roman" w:cs="Times New Roman"/>
          <w:sz w:val="24"/>
          <w:szCs w:val="24"/>
          <w:lang w:val="en-US"/>
        </w:rPr>
        <w:commentReference w:id="4"/>
      </w:r>
      <w:commentRangeEnd w:id="5"/>
      <w:r w:rsidR="002E561C" w:rsidRPr="00F61BEA">
        <w:rPr>
          <w:rStyle w:val="CommentReference"/>
          <w:rFonts w:ascii="Times New Roman" w:eastAsiaTheme="minorEastAsia" w:hAnsi="Times New Roman" w:cs="Times New Roman"/>
          <w:sz w:val="24"/>
          <w:szCs w:val="24"/>
          <w:lang w:val="en-US"/>
        </w:rPr>
        <w:commentReference w:id="5"/>
      </w:r>
      <w:r w:rsidR="00F61BEA" w:rsidRPr="00F61BEA">
        <w:rPr>
          <w:rFonts w:ascii="Times New Roman" w:eastAsiaTheme="minorEastAsia" w:hAnsi="Times New Roman" w:cs="Times New Roman"/>
          <w:sz w:val="24"/>
          <w:szCs w:val="24"/>
          <w:lang w:val="en-US"/>
        </w:rPr>
        <w:t xml:space="preserve">where </w:t>
      </w:r>
      <m:oMath>
        <m:r>
          <w:rPr>
            <w:rFonts w:ascii="Cambria Math" w:eastAsiaTheme="minorEastAsia" w:hAnsi="Cambria Math" w:cs="Times New Roman"/>
            <w:sz w:val="24"/>
            <w:szCs w:val="24"/>
            <w:lang w:val="en-US"/>
          </w:rPr>
          <m:t>p(F)</m:t>
        </m:r>
      </m:oMath>
      <w:r w:rsidR="00F61BEA" w:rsidRPr="00F61BEA">
        <w:rPr>
          <w:rFonts w:ascii="Times New Roman" w:eastAsiaTheme="minorEastAsia" w:hAnsi="Times New Roman" w:cs="Times New Roman"/>
          <w:sz w:val="24"/>
          <w:szCs w:val="24"/>
          <w:lang w:val="en-US"/>
        </w:rPr>
        <w:t xml:space="preserve"> and </w:t>
      </w:r>
      <m:oMath>
        <m:r>
          <w:rPr>
            <w:rFonts w:ascii="Cambria Math" w:eastAsiaTheme="minorEastAsia" w:hAnsi="Cambria Math" w:cs="Times New Roman"/>
            <w:sz w:val="24"/>
            <w:szCs w:val="24"/>
            <w:lang w:val="en-US"/>
          </w:rPr>
          <m:t>p(U)</m:t>
        </m:r>
      </m:oMath>
      <w:r w:rsidR="00F61BEA" w:rsidRPr="00F61BEA">
        <w:rPr>
          <w:rFonts w:ascii="Times New Roman" w:eastAsiaTheme="minorEastAsia" w:hAnsi="Times New Roman" w:cs="Times New Roman"/>
          <w:sz w:val="24"/>
          <w:szCs w:val="24"/>
          <w:lang w:val="en-US"/>
        </w:rPr>
        <w:t xml:space="preserve"> are the probability density functions for seed terminal velocity and wind speed, respectively, and </w:t>
      </w:r>
      <m:oMath>
        <m:r>
          <w:rPr>
            <w:rFonts w:ascii="Cambria Math" w:eastAsiaTheme="minorEastAsia" w:hAnsi="Cambria Math" w:cs="Times New Roman"/>
            <w:sz w:val="24"/>
            <w:szCs w:val="24"/>
            <w:lang w:val="en-US"/>
          </w:rPr>
          <m:t>p</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r,F,U</m:t>
            </m:r>
          </m:e>
        </m:d>
      </m:oMath>
      <w:r w:rsidR="00F61BEA" w:rsidRPr="00F61BEA">
        <w:rPr>
          <w:rFonts w:ascii="Times New Roman" w:eastAsiaTheme="minorEastAsia" w:hAnsi="Times New Roman" w:cs="Times New Roman"/>
          <w:sz w:val="24"/>
          <w:szCs w:val="24"/>
          <w:lang w:val="en-US"/>
        </w:rPr>
        <w:t xml:space="preserve"> is the dispersal kernel in Equation 1 but using variable wind speeds and terminal velocities rather than fixed values. Wind speed data were obtained from a weather station a few kilometers from the study site, and terminal velocity data from laboratory seed drop experiments. In addition to the variation in wind speed and seed terminal velocity, we also capture variation in seed release height, another key determinant of dispersal distance, through the stochastic component of our flower head height demographic model. Accounting for variation in seed release heights can result in more representative dispersal estimates than those </w:t>
      </w:r>
      <w:r w:rsidR="00F61BEA" w:rsidRPr="00F61BEA">
        <w:rPr>
          <w:rFonts w:ascii="Times New Roman" w:eastAsiaTheme="minorEastAsia" w:hAnsi="Times New Roman" w:cs="Times New Roman"/>
          <w:sz w:val="24"/>
          <w:szCs w:val="24"/>
          <w:lang w:val="en-US"/>
        </w:rPr>
        <w:lastRenderedPageBreak/>
        <w:t xml:space="preserve">made using simplifying assumptions, such as using the maximum release height, that are commonly employed in previous studies on </w:t>
      </w:r>
      <w:r w:rsidR="00F61BEA" w:rsidRPr="00F61BEA">
        <w:rPr>
          <w:rFonts w:ascii="Times New Roman" w:eastAsiaTheme="minorEastAsia" w:hAnsi="Times New Roman" w:cs="Times New Roman"/>
          <w:i/>
          <w:iCs/>
          <w:sz w:val="24"/>
          <w:szCs w:val="24"/>
          <w:lang w:val="en-US"/>
        </w:rPr>
        <w:t>C. nutans</w:t>
      </w:r>
      <w:r w:rsidR="00F61BEA" w:rsidRPr="00F61BEA">
        <w:rPr>
          <w:rFonts w:ascii="Times New Roman" w:eastAsiaTheme="minorEastAsia" w:hAnsi="Times New Roman" w:cs="Times New Roman"/>
          <w:sz w:val="24"/>
          <w:szCs w:val="24"/>
          <w:lang w:val="en-US"/>
        </w:rPr>
        <w:t xml:space="preserve"> dispersal (Drees &amp; Shea 2024b).</w:t>
      </w:r>
    </w:p>
    <w:p w14:paraId="7C303727" w14:textId="07D250A5" w:rsidR="00F61BEA" w:rsidRPr="00F61BEA" w:rsidRDefault="00F61BEA" w:rsidP="00F61BEA">
      <w:pPr>
        <w:spacing w:after="0" w:line="480" w:lineRule="auto"/>
        <w:ind w:firstLine="284"/>
        <w:rPr>
          <w:rFonts w:ascii="Times New Roman" w:eastAsiaTheme="minorEastAsia" w:hAnsi="Times New Roman" w:cs="Times New Roman"/>
          <w:sz w:val="24"/>
          <w:szCs w:val="24"/>
          <w:lang w:val="en-US"/>
        </w:rPr>
      </w:pPr>
      <w:r w:rsidRPr="00F61BEA">
        <w:rPr>
          <w:rFonts w:ascii="Times New Roman" w:eastAsiaTheme="minorEastAsia" w:hAnsi="Times New Roman" w:cs="Times New Roman"/>
          <w:sz w:val="24"/>
          <w:szCs w:val="24"/>
          <w:lang w:val="en-US"/>
        </w:rPr>
        <w:t xml:space="preserve">Though models of wind dispersal like the WALD model have been tested on </w:t>
      </w:r>
      <w:r w:rsidRPr="00F61BEA">
        <w:rPr>
          <w:rFonts w:ascii="Times New Roman" w:eastAsiaTheme="minorEastAsia" w:hAnsi="Times New Roman" w:cs="Times New Roman"/>
          <w:i/>
          <w:iCs/>
          <w:sz w:val="24"/>
          <w:szCs w:val="24"/>
          <w:lang w:val="en-US"/>
        </w:rPr>
        <w:t>C. nutans</w:t>
      </w:r>
      <w:r w:rsidRPr="00F61BEA">
        <w:rPr>
          <w:rFonts w:ascii="Times New Roman" w:eastAsiaTheme="minorEastAsia" w:hAnsi="Times New Roman" w:cs="Times New Roman"/>
          <w:sz w:val="24"/>
          <w:szCs w:val="24"/>
          <w:lang w:val="en-US"/>
        </w:rPr>
        <w:t xml:space="preserve">, there are so far no models for this species that quantify dispersal distances via ants. Some studies have quantified ant-mediated dispersal distances for other plant species (e.g. Gómez &amp; Espadaler 1998; Hughes &amp; Westoby 1992), but looked at frequency of dispersal distances for all nests in study area, which may not be helpful when dispersal distance or probability needs to be tied to a specific nest location. Other studies (e.g. Higashi </w:t>
      </w:r>
      <w:r w:rsidRPr="00F61BEA">
        <w:rPr>
          <w:rFonts w:ascii="Times New Roman" w:eastAsiaTheme="minorEastAsia" w:hAnsi="Times New Roman" w:cs="Times New Roman"/>
          <w:i/>
          <w:iCs/>
          <w:sz w:val="24"/>
          <w:szCs w:val="24"/>
          <w:lang w:val="en-US"/>
        </w:rPr>
        <w:t>et al.</w:t>
      </w:r>
      <w:r w:rsidRPr="00F61BEA">
        <w:rPr>
          <w:rFonts w:ascii="Times New Roman" w:eastAsiaTheme="minorEastAsia" w:hAnsi="Times New Roman" w:cs="Times New Roman"/>
          <w:sz w:val="24"/>
          <w:szCs w:val="24"/>
          <w:lang w:val="en-US"/>
        </w:rPr>
        <w:t xml:space="preserve"> 1989; Rabelo </w:t>
      </w:r>
      <w:r w:rsidRPr="00F61BEA">
        <w:rPr>
          <w:rFonts w:ascii="Times New Roman" w:eastAsiaTheme="minorEastAsia" w:hAnsi="Times New Roman" w:cs="Times New Roman"/>
          <w:i/>
          <w:iCs/>
          <w:sz w:val="24"/>
          <w:szCs w:val="24"/>
          <w:lang w:val="en-US"/>
        </w:rPr>
        <w:t xml:space="preserve">et al. </w:t>
      </w:r>
      <w:r w:rsidRPr="00F61BEA">
        <w:rPr>
          <w:rFonts w:ascii="Times New Roman" w:eastAsiaTheme="minorEastAsia" w:hAnsi="Times New Roman" w:cs="Times New Roman"/>
          <w:sz w:val="24"/>
          <w:szCs w:val="24"/>
          <w:lang w:val="en-US"/>
        </w:rPr>
        <w:t>2021) have quantif</w:t>
      </w:r>
      <w:r w:rsidR="0099468A">
        <w:rPr>
          <w:rFonts w:ascii="Times New Roman" w:eastAsiaTheme="minorEastAsia" w:hAnsi="Times New Roman" w:cs="Times New Roman"/>
          <w:sz w:val="24"/>
          <w:szCs w:val="24"/>
          <w:lang w:val="en-US"/>
        </w:rPr>
        <w:t>ied</w:t>
      </w:r>
      <w:r w:rsidRPr="00F61BEA">
        <w:rPr>
          <w:rFonts w:ascii="Times New Roman" w:eastAsiaTheme="minorEastAsia" w:hAnsi="Times New Roman" w:cs="Times New Roman"/>
          <w:sz w:val="24"/>
          <w:szCs w:val="24"/>
          <w:lang w:val="en-US"/>
        </w:rPr>
        <w:t xml:space="preserve"> the relationship between rate of seed removal by ants and distance from a given nest, usually the nearest. However, no such data exist for </w:t>
      </w:r>
      <w:r w:rsidRPr="00F61BEA">
        <w:rPr>
          <w:rFonts w:ascii="Times New Roman" w:eastAsiaTheme="minorEastAsia" w:hAnsi="Times New Roman" w:cs="Times New Roman"/>
          <w:i/>
          <w:iCs/>
          <w:sz w:val="24"/>
          <w:szCs w:val="24"/>
          <w:lang w:val="en-US"/>
        </w:rPr>
        <w:t>C. nutans</w:t>
      </w:r>
      <w:r w:rsidRPr="00F61BEA">
        <w:rPr>
          <w:rFonts w:ascii="Times New Roman" w:eastAsiaTheme="minorEastAsia" w:hAnsi="Times New Roman" w:cs="Times New Roman"/>
          <w:sz w:val="24"/>
          <w:szCs w:val="24"/>
          <w:lang w:val="en-US"/>
        </w:rPr>
        <w:t xml:space="preserve">, so we thus make the simplifying assumption that probability of seed removal is a flat rate independent of location within the territory of an ant nest; here, we use data from Drees and Shea (2024a), </w:t>
      </w:r>
      <w:r w:rsidR="0099468A">
        <w:rPr>
          <w:rFonts w:ascii="Times New Roman" w:eastAsiaTheme="minorEastAsia" w:hAnsi="Times New Roman" w:cs="Times New Roman"/>
          <w:sz w:val="24"/>
          <w:szCs w:val="24"/>
          <w:lang w:val="en-US"/>
        </w:rPr>
        <w:t>where</w:t>
      </w:r>
      <w:r w:rsidRPr="00F61BEA">
        <w:rPr>
          <w:rFonts w:ascii="Times New Roman" w:eastAsiaTheme="minorEastAsia" w:hAnsi="Times New Roman" w:cs="Times New Roman"/>
          <w:sz w:val="24"/>
          <w:szCs w:val="24"/>
          <w:lang w:val="en-US"/>
        </w:rPr>
        <w:t xml:space="preserve"> 94.8% of </w:t>
      </w:r>
      <w:r w:rsidRPr="00F61BEA">
        <w:rPr>
          <w:rFonts w:ascii="Times New Roman" w:eastAsiaTheme="minorEastAsia" w:hAnsi="Times New Roman" w:cs="Times New Roman"/>
          <w:i/>
          <w:iCs/>
          <w:sz w:val="24"/>
          <w:szCs w:val="24"/>
          <w:lang w:val="en-US"/>
        </w:rPr>
        <w:t>C. nutans</w:t>
      </w:r>
      <w:r w:rsidRPr="00F61BEA">
        <w:rPr>
          <w:rFonts w:ascii="Times New Roman" w:eastAsiaTheme="minorEastAsia" w:hAnsi="Times New Roman" w:cs="Times New Roman"/>
          <w:sz w:val="24"/>
          <w:szCs w:val="24"/>
          <w:lang w:val="en-US"/>
        </w:rPr>
        <w:t xml:space="preserve"> seeds were removed after 48 hours. For seeds removed by ants, we assume that these seeds are always taken to the nearest nest, as nest-building ants are generally central place foragers. In the absence of any data on ant nest density or maximum foraging distance for ants at the study site, we assume a mean nest density of 1 per 5 meters (T. Drees, </w:t>
      </w:r>
      <w:r w:rsidRPr="00F61BEA">
        <w:rPr>
          <w:rFonts w:ascii="Times New Roman" w:eastAsiaTheme="minorEastAsia" w:hAnsi="Times New Roman" w:cs="Times New Roman"/>
          <w:i/>
          <w:iCs/>
          <w:sz w:val="24"/>
          <w:szCs w:val="24"/>
          <w:lang w:val="en-US"/>
        </w:rPr>
        <w:t>personal obs</w:t>
      </w:r>
      <w:r w:rsidRPr="00F61BEA">
        <w:rPr>
          <w:rFonts w:ascii="Times New Roman" w:eastAsiaTheme="minorEastAsia" w:hAnsi="Times New Roman" w:cs="Times New Roman"/>
          <w:sz w:val="24"/>
          <w:szCs w:val="24"/>
          <w:lang w:val="en-US"/>
        </w:rPr>
        <w:t xml:space="preserve">.) and a maximum foraging distance of 25 m, the latter based on the higher end of foraging ranges found in various studies across ant species (e.g. Crist &amp; MacMahon 1991; Hogg </w:t>
      </w:r>
      <w:r w:rsidRPr="00F61BEA">
        <w:rPr>
          <w:rFonts w:ascii="Times New Roman" w:eastAsiaTheme="minorEastAsia" w:hAnsi="Times New Roman" w:cs="Times New Roman"/>
          <w:i/>
          <w:iCs/>
          <w:sz w:val="24"/>
          <w:szCs w:val="24"/>
          <w:lang w:val="en-US"/>
        </w:rPr>
        <w:t>et al</w:t>
      </w:r>
      <w:r w:rsidRPr="00F61BEA">
        <w:rPr>
          <w:rFonts w:ascii="Times New Roman" w:eastAsiaTheme="minorEastAsia" w:hAnsi="Times New Roman" w:cs="Times New Roman"/>
          <w:sz w:val="24"/>
          <w:szCs w:val="24"/>
          <w:lang w:val="en-US"/>
        </w:rPr>
        <w:t xml:space="preserve"> 2018). We then subject these parameters to sensitivity analyses to examine how spread rates change when these parameters are perturbed. Should these analyses sufficiently demonstrate that seed predation and/or ant nest density have strong effects on spread rates, then these parameters are critical for spread rate estimation and should be foci for future research; if not, then obtaining accurate estimates for these parameters may not be necessary when building dispersal models in the future.</w:t>
      </w:r>
    </w:p>
    <w:p w14:paraId="28E6C95D" w14:textId="2BD79327" w:rsidR="00D7434F" w:rsidRDefault="00F61BEA" w:rsidP="00F61BEA">
      <w:pPr>
        <w:spacing w:after="0" w:line="480" w:lineRule="auto"/>
        <w:ind w:firstLine="284"/>
        <w:rPr>
          <w:rFonts w:ascii="Times New Roman" w:hAnsi="Times New Roman" w:cs="Times New Roman"/>
          <w:sz w:val="24"/>
          <w:szCs w:val="24"/>
        </w:rPr>
      </w:pPr>
      <w:r w:rsidRPr="00F61BEA">
        <w:rPr>
          <w:rFonts w:ascii="Times New Roman" w:eastAsiaTheme="minorEastAsia" w:hAnsi="Times New Roman" w:cs="Times New Roman"/>
          <w:sz w:val="24"/>
          <w:szCs w:val="24"/>
          <w:lang w:val="en-US"/>
        </w:rPr>
        <w:lastRenderedPageBreak/>
        <w:t xml:space="preserve">In addition to a lack of information on ant nest densities and maximum foraging distance at the study site, as well as seed removal probability as a function of distance to the nearest ant nest, there is also a lack of data on rates of </w:t>
      </w:r>
      <w:r w:rsidRPr="00F61BEA">
        <w:rPr>
          <w:rFonts w:ascii="Times New Roman" w:eastAsiaTheme="minorEastAsia" w:hAnsi="Times New Roman" w:cs="Times New Roman"/>
          <w:i/>
          <w:iCs/>
          <w:sz w:val="24"/>
          <w:szCs w:val="24"/>
          <w:lang w:val="en-US"/>
        </w:rPr>
        <w:t>C. nutans</w:t>
      </w:r>
      <w:r w:rsidRPr="00F61BEA">
        <w:rPr>
          <w:rFonts w:ascii="Times New Roman" w:eastAsiaTheme="minorEastAsia" w:hAnsi="Times New Roman" w:cs="Times New Roman"/>
          <w:sz w:val="24"/>
          <w:szCs w:val="24"/>
          <w:lang w:val="en-US"/>
        </w:rPr>
        <w:t xml:space="preserve"> seed predation after primary dispersal. Rates of seed predation in general are difficult to capture in a natural setting, and though experiments on seed removal are easier to conduct, studies doing so often incorrectly assume that all removed seeds are also consumed (Vander Wall </w:t>
      </w:r>
      <w:r w:rsidRPr="00F61BEA">
        <w:rPr>
          <w:rFonts w:ascii="Times New Roman" w:eastAsiaTheme="minorEastAsia" w:hAnsi="Times New Roman" w:cs="Times New Roman"/>
          <w:i/>
          <w:iCs/>
          <w:sz w:val="24"/>
          <w:szCs w:val="24"/>
          <w:lang w:val="en-US"/>
        </w:rPr>
        <w:t>et al</w:t>
      </w:r>
      <w:r w:rsidRPr="00F61BEA">
        <w:rPr>
          <w:rFonts w:ascii="Times New Roman" w:eastAsiaTheme="minorEastAsia" w:hAnsi="Times New Roman" w:cs="Times New Roman"/>
          <w:sz w:val="24"/>
          <w:szCs w:val="24"/>
          <w:lang w:val="en-US"/>
        </w:rPr>
        <w:t xml:space="preserve">. 2005) and thus destroyed, or conversely, that all seeds are dispersed and not eaten. While data on </w:t>
      </w:r>
      <w:r w:rsidRPr="00F61BEA">
        <w:rPr>
          <w:rFonts w:ascii="Times New Roman" w:eastAsiaTheme="minorEastAsia" w:hAnsi="Times New Roman" w:cs="Times New Roman"/>
          <w:i/>
          <w:iCs/>
          <w:sz w:val="24"/>
          <w:szCs w:val="24"/>
          <w:lang w:val="en-US"/>
        </w:rPr>
        <w:t>C. nutans</w:t>
      </w:r>
      <w:r w:rsidRPr="00F61BEA">
        <w:rPr>
          <w:rFonts w:ascii="Times New Roman" w:eastAsiaTheme="minorEastAsia" w:hAnsi="Times New Roman" w:cs="Times New Roman"/>
          <w:sz w:val="24"/>
          <w:szCs w:val="24"/>
          <w:lang w:val="en-US"/>
        </w:rPr>
        <w:t xml:space="preserve"> seed removal rates (Drees &amp; Shea 2024a; Jongejans </w:t>
      </w:r>
      <w:r w:rsidRPr="00F61BEA">
        <w:rPr>
          <w:rFonts w:ascii="Times New Roman" w:eastAsiaTheme="minorEastAsia" w:hAnsi="Times New Roman" w:cs="Times New Roman"/>
          <w:i/>
          <w:iCs/>
          <w:sz w:val="24"/>
          <w:szCs w:val="24"/>
          <w:lang w:val="en-US"/>
        </w:rPr>
        <w:t>et al</w:t>
      </w:r>
      <w:r w:rsidRPr="00F61BEA">
        <w:rPr>
          <w:rFonts w:ascii="Times New Roman" w:eastAsiaTheme="minorEastAsia" w:hAnsi="Times New Roman" w:cs="Times New Roman"/>
          <w:sz w:val="24"/>
          <w:szCs w:val="24"/>
          <w:lang w:val="en-US"/>
        </w:rPr>
        <w:t xml:space="preserve">. 2015) indicate that the vast majority of seeds experiencing primary dispersal via wind are also moved by secondary dispersal vectors, namely ants, rates of seed predation are unknown. Thus, we initially assume a post-dispersal predation rate of 0.9 for seeds moved by ants using a similar rationale to our assumptions on ant nest density and foraging distance: sensitivity analyses can determine if this parameter is a critical determinant of population spread rate, and thus whether it is worthy of consideration in future studies. Additional information on the wind dispersal model, the ant dispersal model, and the parameters associated with these models can be found in Appendix </w:t>
      </w:r>
      <w:r w:rsidR="00BC492F">
        <w:rPr>
          <w:rFonts w:ascii="Times New Roman" w:eastAsiaTheme="minorEastAsia" w:hAnsi="Times New Roman" w:cs="Times New Roman"/>
          <w:sz w:val="24"/>
          <w:szCs w:val="24"/>
          <w:lang w:val="en-US"/>
        </w:rPr>
        <w:t>S1</w:t>
      </w:r>
      <w:r w:rsidRPr="00F61BEA">
        <w:rPr>
          <w:rFonts w:ascii="Times New Roman" w:eastAsiaTheme="minorEastAsia" w:hAnsi="Times New Roman" w:cs="Times New Roman"/>
          <w:sz w:val="24"/>
          <w:szCs w:val="24"/>
          <w:lang w:val="en-US"/>
        </w:rPr>
        <w:t>, where all are described in detail.</w:t>
      </w:r>
    </w:p>
    <w:p w14:paraId="1F5E97F8" w14:textId="18BC06CE" w:rsidR="00DB4305" w:rsidRPr="00F30DC8" w:rsidRDefault="00B83832" w:rsidP="00DB47AD">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Spread rate</w:t>
      </w:r>
      <w:r w:rsidR="00DB4305" w:rsidRPr="00A53067">
        <w:rPr>
          <w:rFonts w:ascii="Times New Roman" w:hAnsi="Times New Roman" w:cs="Times New Roman"/>
          <w:b/>
          <w:bCs/>
          <w:i/>
          <w:iCs/>
          <w:sz w:val="24"/>
          <w:szCs w:val="24"/>
        </w:rPr>
        <w:t xml:space="preserve"> model</w:t>
      </w:r>
    </w:p>
    <w:p w14:paraId="6D8B474B" w14:textId="77777777"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While many of the previous studies on </w:t>
      </w:r>
      <w:r w:rsidRPr="00F61BEA">
        <w:rPr>
          <w:rFonts w:ascii="Times New Roman" w:hAnsi="Times New Roman" w:cs="Times New Roman"/>
          <w:i/>
          <w:iCs/>
          <w:sz w:val="24"/>
          <w:szCs w:val="24"/>
          <w:lang w:val="en-US"/>
        </w:rPr>
        <w:t>C. nutans</w:t>
      </w:r>
      <w:r w:rsidRPr="00F61BEA">
        <w:rPr>
          <w:rFonts w:ascii="Times New Roman" w:hAnsi="Times New Roman" w:cs="Times New Roman"/>
          <w:sz w:val="24"/>
          <w:szCs w:val="24"/>
          <w:lang w:val="en-US"/>
        </w:rPr>
        <w:t xml:space="preserve"> spread analytically estimate wave speeds</w:t>
      </w:r>
      <w:r w:rsidRPr="00F61BEA">
        <w:rPr>
          <w:rFonts w:ascii="Times New Roman" w:hAnsi="Times New Roman" w:cs="Times New Roman"/>
          <w:i/>
          <w:iCs/>
          <w:sz w:val="24"/>
          <w:szCs w:val="24"/>
          <w:lang w:val="en-US"/>
        </w:rPr>
        <w:t xml:space="preserve"> </w:t>
      </w:r>
      <w:r w:rsidRPr="00F61BEA">
        <w:rPr>
          <w:rFonts w:ascii="Times New Roman" w:hAnsi="Times New Roman" w:cs="Times New Roman"/>
          <w:sz w:val="24"/>
          <w:szCs w:val="24"/>
          <w:lang w:val="en-US"/>
        </w:rPr>
        <w:t xml:space="preserve">using matrix, integro-difference, or integral projection models (e.g. Jongejans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2011; Marchetto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2014; Skarpaas &amp; Shea 2007; Teller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2016; Zhang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2011), we tackle the added challenge of including ant nests as location-specific seed sinks by instead numerically estimating spread rates using an individual-based model. This individual-based model allows us to account for the fates of individual plants and seeds, with stochastic elements within the model that allow for the inclusion of variation in environmental characteristics such as wind speed and </w:t>
      </w:r>
      <w:r w:rsidRPr="00F61BEA">
        <w:rPr>
          <w:rFonts w:ascii="Times New Roman" w:hAnsi="Times New Roman" w:cs="Times New Roman"/>
          <w:sz w:val="24"/>
          <w:szCs w:val="24"/>
          <w:lang w:val="en-US"/>
        </w:rPr>
        <w:lastRenderedPageBreak/>
        <w:t>in demographic traits such as rosette size, number of flower heads, flower head height, etc. Using a high number of replications, our model simulates the expansion of a population across one-dimensional space, starting from a single rosette at the point of origin.</w:t>
      </w:r>
    </w:p>
    <w:p w14:paraId="62A2ECAD" w14:textId="3716EE35" w:rsidR="00DB4305"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The sequence of demographic and dispersal processes used </w:t>
      </w:r>
      <w:r w:rsidR="000F50F2">
        <w:rPr>
          <w:rFonts w:ascii="Times New Roman" w:hAnsi="Times New Roman" w:cs="Times New Roman"/>
          <w:sz w:val="24"/>
          <w:szCs w:val="24"/>
          <w:lang w:val="en-US"/>
        </w:rPr>
        <w:t>to simulate spread</w:t>
      </w:r>
      <w:r w:rsidRPr="00F61BEA">
        <w:rPr>
          <w:rFonts w:ascii="Times New Roman" w:hAnsi="Times New Roman" w:cs="Times New Roman"/>
          <w:sz w:val="24"/>
          <w:szCs w:val="24"/>
          <w:lang w:val="en-US"/>
        </w:rPr>
        <w:t xml:space="preserve"> is outlined in Figure 1, with details on each process given in Appendix </w:t>
      </w:r>
      <w:r w:rsidR="00BC492F">
        <w:rPr>
          <w:rFonts w:ascii="Times New Roman" w:hAnsi="Times New Roman" w:cs="Times New Roman"/>
          <w:sz w:val="24"/>
          <w:szCs w:val="24"/>
          <w:lang w:val="en-US"/>
        </w:rPr>
        <w:t>S1</w:t>
      </w:r>
      <w:r w:rsidRPr="00F61BEA">
        <w:rPr>
          <w:rFonts w:ascii="Times New Roman" w:hAnsi="Times New Roman" w:cs="Times New Roman"/>
          <w:sz w:val="24"/>
          <w:szCs w:val="24"/>
          <w:lang w:val="en-US"/>
        </w:rPr>
        <w:t xml:space="preserve">. Thistle density was capped at ten adults per meter (T. Drees, </w:t>
      </w:r>
      <w:r w:rsidRPr="00F61BEA">
        <w:rPr>
          <w:rFonts w:ascii="Times New Roman" w:hAnsi="Times New Roman" w:cs="Times New Roman"/>
          <w:i/>
          <w:iCs/>
          <w:sz w:val="24"/>
          <w:szCs w:val="24"/>
          <w:lang w:val="en-US"/>
        </w:rPr>
        <w:t>personal obs.</w:t>
      </w:r>
      <w:r w:rsidRPr="00F61BEA">
        <w:rPr>
          <w:rFonts w:ascii="Times New Roman" w:hAnsi="Times New Roman" w:cs="Times New Roman"/>
          <w:sz w:val="24"/>
          <w:szCs w:val="24"/>
          <w:lang w:val="en-US"/>
        </w:rPr>
        <w:t xml:space="preserve">), and we include density in our sensitivity analyses to understand its impacts on spread rate. </w:t>
      </w:r>
      <w:bookmarkStart w:id="6" w:name="_Hlk177309913"/>
      <w:r w:rsidRPr="00F61BEA">
        <w:rPr>
          <w:rFonts w:ascii="Times New Roman" w:hAnsi="Times New Roman" w:cs="Times New Roman"/>
          <w:sz w:val="24"/>
          <w:szCs w:val="24"/>
          <w:lang w:val="en-US"/>
        </w:rPr>
        <w:t>Each generation (1 year) in the model was started by simulating overwinter survival of all existing rosettes.</w:t>
      </w:r>
      <w:bookmarkEnd w:id="6"/>
      <w:r w:rsidRPr="00F61BEA">
        <w:rPr>
          <w:rFonts w:ascii="Times New Roman" w:hAnsi="Times New Roman" w:cs="Times New Roman"/>
          <w:sz w:val="24"/>
          <w:szCs w:val="24"/>
          <w:lang w:val="en-US"/>
        </w:rPr>
        <w:t xml:space="preserve"> After simulating each year’s demography and dispersal, annual spread rate was calculated as the difference in position of the individual(s) at the foremost point of the wave between that year and the previous year. This calculation was limited to aboveground individuals and excluded seeds. All spread rates reported here, including those used in sensitivity analyses, are given as a median value since the mean spread rate was often heavily skewed by a small number of long-distance dispersal events. Prior to performing any sensitivity analyses, models were first run at 1000 time steps for the 8 unique combinations of the following: warmed/unwarmed treatment, inclusion/exclusion of ant-driven seed movement after removal, and inclusion/exclusion of ant-driven seed predation after removal. The scenario that excluded warming but included both ant-driven movement and predation after removal was treated as the base case, with the baseline parameter values given in </w:t>
      </w:r>
      <w:r w:rsidR="00BC492F">
        <w:rPr>
          <w:rFonts w:ascii="Times New Roman" w:hAnsi="Times New Roman" w:cs="Times New Roman"/>
          <w:sz w:val="24"/>
          <w:szCs w:val="24"/>
          <w:lang w:val="en-US"/>
        </w:rPr>
        <w:t xml:space="preserve">Appendix S1, </w:t>
      </w:r>
      <w:r w:rsidRPr="00F61BEA">
        <w:rPr>
          <w:rFonts w:ascii="Times New Roman" w:hAnsi="Times New Roman" w:cs="Times New Roman"/>
          <w:sz w:val="24"/>
          <w:szCs w:val="24"/>
          <w:lang w:val="en-US"/>
        </w:rPr>
        <w:t xml:space="preserve">Table </w:t>
      </w:r>
      <w:r w:rsidR="00BC492F">
        <w:rPr>
          <w:rFonts w:ascii="Times New Roman" w:hAnsi="Times New Roman" w:cs="Times New Roman"/>
          <w:sz w:val="24"/>
          <w:szCs w:val="24"/>
          <w:lang w:val="en-US"/>
        </w:rPr>
        <w:t>S</w:t>
      </w:r>
      <w:r w:rsidRPr="00F61BEA">
        <w:rPr>
          <w:rFonts w:ascii="Times New Roman" w:hAnsi="Times New Roman" w:cs="Times New Roman"/>
          <w:sz w:val="24"/>
          <w:szCs w:val="24"/>
          <w:lang w:val="en-US"/>
        </w:rPr>
        <w:t>1.</w:t>
      </w:r>
    </w:p>
    <w:p w14:paraId="4B80BD2E" w14:textId="14079023" w:rsidR="00DB4305" w:rsidRPr="00F30DC8" w:rsidRDefault="006D0BB9" w:rsidP="004C224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w:t>
      </w:r>
      <w:r w:rsidR="00DB4305" w:rsidRPr="00B36BAB">
        <w:rPr>
          <w:rFonts w:ascii="Times New Roman" w:hAnsi="Times New Roman" w:cs="Times New Roman"/>
          <w:b/>
          <w:bCs/>
          <w:i/>
          <w:iCs/>
          <w:sz w:val="24"/>
          <w:szCs w:val="24"/>
        </w:rPr>
        <w:t>ensitivity analyses</w:t>
      </w:r>
    </w:p>
    <w:p w14:paraId="2C6D33B7" w14:textId="11379DF2" w:rsidR="00F7293E" w:rsidRPr="007B0BE0" w:rsidRDefault="00F61BEA" w:rsidP="004C2241">
      <w:pPr>
        <w:spacing w:after="0" w:line="480" w:lineRule="auto"/>
        <w:ind w:firstLine="284"/>
        <w:rPr>
          <w:rFonts w:ascii="Times New Roman" w:hAnsi="Times New Roman" w:cs="Times New Roman"/>
          <w:sz w:val="24"/>
          <w:szCs w:val="24"/>
        </w:rPr>
      </w:pPr>
      <w:bookmarkStart w:id="7" w:name="_Hlk86582434"/>
      <w:r w:rsidRPr="00F61BEA">
        <w:rPr>
          <w:rFonts w:ascii="Times New Roman" w:hAnsi="Times New Roman" w:cs="Times New Roman"/>
          <w:sz w:val="24"/>
          <w:szCs w:val="24"/>
          <w:lang w:val="en-US"/>
        </w:rPr>
        <w:t xml:space="preserve">Given that the focus of this work is on relative contributions of dispersal to spread rates, and that previous works have already explored the contributions of demographic rates (e.g. Jongejans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2011; Zhang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2011), sensitivity analyses were limited to dispersal-related parameters (</w:t>
      </w:r>
      <w:r w:rsidR="00BC492F">
        <w:rPr>
          <w:rFonts w:ascii="Times New Roman" w:hAnsi="Times New Roman" w:cs="Times New Roman"/>
          <w:sz w:val="24"/>
          <w:szCs w:val="24"/>
          <w:lang w:val="en-US"/>
        </w:rPr>
        <w:t xml:space="preserve">Appendix S1, </w:t>
      </w:r>
      <w:r w:rsidR="00BC492F" w:rsidRPr="00F61BEA">
        <w:rPr>
          <w:rFonts w:ascii="Times New Roman" w:hAnsi="Times New Roman" w:cs="Times New Roman"/>
          <w:sz w:val="24"/>
          <w:szCs w:val="24"/>
          <w:lang w:val="en-US"/>
        </w:rPr>
        <w:t xml:space="preserve">Table </w:t>
      </w:r>
      <w:r w:rsidR="00BC492F">
        <w:rPr>
          <w:rFonts w:ascii="Times New Roman" w:hAnsi="Times New Roman" w:cs="Times New Roman"/>
          <w:sz w:val="24"/>
          <w:szCs w:val="24"/>
          <w:lang w:val="en-US"/>
        </w:rPr>
        <w:t>S</w:t>
      </w:r>
      <w:r w:rsidR="00BC492F" w:rsidRPr="00F61BEA">
        <w:rPr>
          <w:rFonts w:ascii="Times New Roman" w:hAnsi="Times New Roman" w:cs="Times New Roman"/>
          <w:sz w:val="24"/>
          <w:szCs w:val="24"/>
          <w:lang w:val="en-US"/>
        </w:rPr>
        <w:t>1</w:t>
      </w:r>
      <w:r w:rsidRPr="00F61BEA">
        <w:rPr>
          <w:rFonts w:ascii="Times New Roman" w:hAnsi="Times New Roman" w:cs="Times New Roman"/>
          <w:sz w:val="24"/>
          <w:szCs w:val="24"/>
          <w:lang w:val="en-US"/>
        </w:rPr>
        <w:t xml:space="preserve">). For each parameter, we decreased the parameter’s baseline value by </w:t>
      </w:r>
      <w:r w:rsidRPr="00F61BEA">
        <w:rPr>
          <w:rFonts w:ascii="Times New Roman" w:hAnsi="Times New Roman" w:cs="Times New Roman"/>
          <w:sz w:val="24"/>
          <w:szCs w:val="24"/>
          <w:lang w:val="en-US"/>
        </w:rPr>
        <w:lastRenderedPageBreak/>
        <w:t>20% without changing the other parameters, simulated spread over 1000 consecutive time steps, and then used the median spread rate across those 1000 time steps to calculate elasticity such that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8"/>
        <w:gridCol w:w="3088"/>
        <w:gridCol w:w="3196"/>
      </w:tblGrid>
      <w:tr w:rsidR="00105F06" w:rsidRPr="007B0BE0" w14:paraId="4735FE6C" w14:textId="77777777" w:rsidTr="00F61BEA">
        <w:tc>
          <w:tcPr>
            <w:tcW w:w="2968" w:type="dxa"/>
          </w:tcPr>
          <w:p w14:paraId="7465B56A" w14:textId="77777777" w:rsidR="00F7293E" w:rsidRPr="007B0BE0" w:rsidRDefault="00F7293E" w:rsidP="00DB47AD">
            <w:pPr>
              <w:spacing w:line="480" w:lineRule="auto"/>
              <w:ind w:firstLine="284"/>
              <w:jc w:val="both"/>
              <w:rPr>
                <w:rFonts w:ascii="Times New Roman" w:hAnsi="Times New Roman" w:cs="Times New Roman"/>
                <w:sz w:val="24"/>
                <w:szCs w:val="24"/>
              </w:rPr>
            </w:pPr>
          </w:p>
        </w:tc>
        <w:tc>
          <w:tcPr>
            <w:tcW w:w="3088" w:type="dxa"/>
            <w:vAlign w:val="center"/>
          </w:tcPr>
          <w:p w14:paraId="7CED9DB6" w14:textId="77777777" w:rsidR="00F7293E" w:rsidRPr="007B0BE0" w:rsidRDefault="00F7293E" w:rsidP="00DB47AD">
            <w:pPr>
              <w:spacing w:line="480" w:lineRule="auto"/>
              <w:ind w:firstLine="284"/>
              <w:jc w:val="both"/>
              <w:rPr>
                <w:rFonts w:ascii="Times New Roman" w:hAnsi="Times New Roman" w:cs="Times New Roman"/>
                <w:sz w:val="24"/>
                <w:szCs w:val="24"/>
              </w:rPr>
            </w:pPr>
            <m:oMathPara>
              <m:oMath>
                <m:r>
                  <m:rPr>
                    <m:sty m:val="p"/>
                  </m:rPr>
                  <w:rPr>
                    <w:rFonts w:ascii="Cambria Math" w:hAnsi="Cambria Math" w:cs="Times New Roman"/>
                    <w:sz w:val="24"/>
                    <w:szCs w:val="24"/>
                  </w:rPr>
                  <m:t>elas</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p</m:t>
                    </m:r>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den>
                </m:f>
                <m:f>
                  <m:fPr>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num>
                  <m:den>
                    <m:r>
                      <w:rPr>
                        <w:rFonts w:ascii="Cambria Math" w:hAnsi="Cambria Math" w:cs="Times New Roman"/>
                        <w:sz w:val="24"/>
                        <w:szCs w:val="24"/>
                      </w:rPr>
                      <m:t>∆p</m:t>
                    </m:r>
                  </m:den>
                </m:f>
              </m:oMath>
            </m:oMathPara>
          </w:p>
        </w:tc>
        <w:tc>
          <w:tcPr>
            <w:tcW w:w="3196" w:type="dxa"/>
            <w:vAlign w:val="center"/>
          </w:tcPr>
          <w:p w14:paraId="42C85936" w14:textId="77777777" w:rsidR="00F7293E" w:rsidRPr="007B0BE0" w:rsidRDefault="00F7293E" w:rsidP="00DB47AD">
            <w:pPr>
              <w:spacing w:line="480" w:lineRule="auto"/>
              <w:ind w:firstLine="284"/>
              <w:jc w:val="right"/>
              <w:rPr>
                <w:rFonts w:ascii="Times New Roman" w:hAnsi="Times New Roman" w:cs="Times New Roman"/>
                <w:sz w:val="24"/>
                <w:szCs w:val="24"/>
              </w:rPr>
            </w:pPr>
            <w:r w:rsidRPr="007B0BE0">
              <w:rPr>
                <w:rFonts w:ascii="Times New Roman" w:hAnsi="Times New Roman" w:cs="Times New Roman"/>
                <w:sz w:val="24"/>
                <w:szCs w:val="24"/>
              </w:rPr>
              <w:t>[3]</w:t>
            </w:r>
          </w:p>
        </w:tc>
      </w:tr>
    </w:tbl>
    <w:p w14:paraId="1D63F7B9" w14:textId="601F9517" w:rsidR="00F61BEA" w:rsidRPr="00F61BEA" w:rsidRDefault="00F61BEA" w:rsidP="00F61BEA">
      <w:pPr>
        <w:spacing w:after="0" w:line="480" w:lineRule="auto"/>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where </w:t>
      </w:r>
      <m:oMath>
        <m:r>
          <w:rPr>
            <w:rFonts w:ascii="Cambria Math" w:hAnsi="Cambria Math" w:cs="Times New Roman"/>
            <w:sz w:val="24"/>
            <w:szCs w:val="24"/>
            <w:lang w:val="en-US"/>
          </w:rPr>
          <m:t>p</m:t>
        </m:r>
      </m:oMath>
      <w:r w:rsidRPr="00F61BEA">
        <w:rPr>
          <w:rFonts w:ascii="Times New Roman" w:hAnsi="Times New Roman" w:cs="Times New Roman"/>
          <w:sz w:val="24"/>
          <w:szCs w:val="24"/>
          <w:lang w:val="en-US"/>
        </w:rPr>
        <w:t xml:space="preserve"> is the value of the parameter in question,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m:t>
            </m:r>
          </m:sup>
        </m:sSup>
      </m:oMath>
      <w:r w:rsidRPr="00F61BEA">
        <w:rPr>
          <w:rFonts w:ascii="Times New Roman" w:hAnsi="Times New Roman" w:cs="Times New Roman"/>
          <w:sz w:val="24"/>
          <w:szCs w:val="24"/>
          <w:lang w:val="en-US"/>
        </w:rPr>
        <w:t xml:space="preserve"> is the estimated spread rate without changes in parameter, and </w:t>
      </w:r>
      <m:oMath>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m:t>
            </m:r>
          </m:sup>
        </m:sSup>
      </m:oMath>
      <w:r w:rsidRPr="00F61BEA">
        <w:rPr>
          <w:rFonts w:ascii="Times New Roman" w:hAnsi="Times New Roman" w:cs="Times New Roman"/>
          <w:sz w:val="24"/>
          <w:szCs w:val="24"/>
          <w:lang w:val="en-US"/>
        </w:rPr>
        <w:t xml:space="preserve"> is the change in spread rate resulting from the change in parameter </w:t>
      </w:r>
      <m:oMath>
        <m:r>
          <w:rPr>
            <w:rFonts w:ascii="Cambria Math" w:hAnsi="Cambria Math" w:cs="Times New Roman"/>
            <w:sz w:val="24"/>
            <w:szCs w:val="24"/>
            <w:lang w:val="en-US"/>
          </w:rPr>
          <m:t>∆p</m:t>
        </m:r>
      </m:oMath>
      <w:r w:rsidRPr="00F61BEA">
        <w:rPr>
          <w:rFonts w:ascii="Times New Roman" w:hAnsi="Times New Roman" w:cs="Times New Roman"/>
          <w:sz w:val="24"/>
          <w:szCs w:val="24"/>
          <w:lang w:val="en-US"/>
        </w:rPr>
        <w:t xml:space="preserve">. After all elasticities were calculated, values were then rescaled by dividing by the sum of their absolute values, similar to the technique used by Jongejans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(2011). Maximum adult thistle density per meter, though not a dispersal-related parameter, was also included in these analyses to determine whether this poorly known parameter affects spread rate estimates. </w:t>
      </w:r>
    </w:p>
    <w:p w14:paraId="363A3686" w14:textId="1F233446" w:rsidR="00072FF3" w:rsidRDefault="00F61BEA" w:rsidP="00F61BEA">
      <w:pPr>
        <w:spacing w:after="0" w:line="480" w:lineRule="auto"/>
        <w:ind w:firstLine="284"/>
        <w:rPr>
          <w:rFonts w:ascii="Times New Roman" w:eastAsiaTheme="minorEastAsia" w:hAnsi="Times New Roman" w:cs="Times New Roman"/>
          <w:sz w:val="24"/>
          <w:szCs w:val="24"/>
        </w:rPr>
      </w:pPr>
      <w:r w:rsidRPr="00F61BEA">
        <w:rPr>
          <w:rFonts w:ascii="Times New Roman" w:hAnsi="Times New Roman" w:cs="Times New Roman"/>
          <w:sz w:val="24"/>
          <w:szCs w:val="24"/>
          <w:lang w:val="en-US"/>
        </w:rPr>
        <w:t xml:space="preserve">Additional perturbations to baseline values were performed for each of the 13 dispersal-related parameters and maximum thistle density to investigate whether or not parameter effects on spread rates were linear, and how strongly these rates changed over a much wider range of parameter values. For the 3 probabilistic parameters, perturbations were performed in increments of 0.1 across the interval [0, 1]. The other 10 parameters did not have an upper bound, and were thus perturbed </w:t>
      </w:r>
      <w:bookmarkStart w:id="8" w:name="_Hlk166098108"/>
      <w:r w:rsidRPr="00F61BEA">
        <w:rPr>
          <w:rFonts w:ascii="Times New Roman" w:hAnsi="Times New Roman" w:cs="Times New Roman"/>
          <w:sz w:val="24"/>
          <w:szCs w:val="24"/>
          <w:lang w:val="en-US"/>
        </w:rPr>
        <w:t>in increments of 10%, up to ±50%</w:t>
      </w:r>
      <w:bookmarkEnd w:id="8"/>
      <w:r w:rsidRPr="00F61BEA">
        <w:rPr>
          <w:rFonts w:ascii="Times New Roman" w:hAnsi="Times New Roman" w:cs="Times New Roman"/>
          <w:sz w:val="24"/>
          <w:szCs w:val="24"/>
          <w:lang w:val="en-US"/>
        </w:rPr>
        <w:t xml:space="preserve"> of their baseline values. Perturbations for each parameter were performed independently (i.e. without changing other parameters), at a replication size of 100 consecutive time steps per perturbation.</w:t>
      </w:r>
    </w:p>
    <w:p w14:paraId="65DDDB8C" w14:textId="28F7C44A" w:rsidR="00DB4305" w:rsidRDefault="00072FF3" w:rsidP="00E01B8D">
      <w:pPr>
        <w:spacing w:after="0" w:line="480" w:lineRule="auto"/>
        <w:jc w:val="both"/>
        <w:rPr>
          <w:rFonts w:ascii="Times New Roman" w:hAnsi="Times New Roman" w:cs="Times New Roman"/>
          <w:sz w:val="24"/>
          <w:szCs w:val="24"/>
        </w:rPr>
      </w:pPr>
      <w:r>
        <w:rPr>
          <w:rFonts w:ascii="Times New Roman" w:eastAsiaTheme="minorEastAsia" w:hAnsi="Times New Roman" w:cs="Times New Roman"/>
          <w:b/>
          <w:bCs/>
          <w:sz w:val="24"/>
          <w:szCs w:val="24"/>
        </w:rPr>
        <w:t>Results</w:t>
      </w:r>
    </w:p>
    <w:p w14:paraId="47590884" w14:textId="6EEFA079" w:rsidR="005E0BA9" w:rsidRDefault="005E0BA9" w:rsidP="00E01B8D">
      <w:pPr>
        <w:spacing w:after="0" w:line="48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Baseline scenario</w:t>
      </w:r>
      <w:r w:rsidR="009D7044">
        <w:rPr>
          <w:rFonts w:ascii="Times New Roman" w:hAnsi="Times New Roman" w:cs="Times New Roman"/>
          <w:b/>
          <w:bCs/>
          <w:i/>
          <w:iCs/>
          <w:sz w:val="24"/>
          <w:szCs w:val="24"/>
        </w:rPr>
        <w:t>s</w:t>
      </w:r>
    </w:p>
    <w:p w14:paraId="6529ADE3" w14:textId="1680AB3E"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Median spread rates calculated from the baseline scenarios are shown in Table 1. While each of these spread rates are context-dependent given the underlying assumptions within our models, comparing these rates across the various scenarios provides substantial insights not only about </w:t>
      </w:r>
      <w:r w:rsidRPr="0035621E">
        <w:rPr>
          <w:rFonts w:ascii="Times New Roman" w:hAnsi="Times New Roman" w:cs="Times New Roman"/>
          <w:sz w:val="24"/>
          <w:szCs w:val="24"/>
          <w:lang w:val="en-US"/>
        </w:rPr>
        <w:lastRenderedPageBreak/>
        <w:t>the effect of warming on how quickly populations spread, but also about which dispersal processes contribute the most to this spread.</w:t>
      </w:r>
    </w:p>
    <w:p w14:paraId="0B00D98D" w14:textId="5B05731A"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Spread rates simulated under warmed conditions were approximately twice as high as those under ambient temperatures, with this phenomenon observed across all scenarios. Here, an approximately 0.6°C increase in growing temperature increased median spread rate from 16.5 m/yr to 32.2 m/yr when including ant-driven seed movement and predation. When neither of these two ant-driven processes were included, which is characteristic of previous studies on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spread, warming increased spread rates from 70.3 m/yr to 137.1 m/yr. Similar warming-induced increases in median spread rate were observed in scenarios where ant-driven seed movement was excluded but seed predation included (19.3 m/yr to 38.2 m/yr), and where ant-driven seed movement was included but seed predation was excluded (52.2 m/yr to 97.9 m/yr). All other parameters held equal, the warming-induced increases in spread rate were caused by increases in 6 </w:t>
      </w:r>
      <w:r w:rsidR="000F50F2">
        <w:rPr>
          <w:rFonts w:ascii="Times New Roman" w:hAnsi="Times New Roman" w:cs="Times New Roman"/>
          <w:sz w:val="24"/>
          <w:szCs w:val="24"/>
          <w:lang w:val="en-US"/>
        </w:rPr>
        <w:t xml:space="preserve">particular </w:t>
      </w:r>
      <w:r w:rsidRPr="0035621E">
        <w:rPr>
          <w:rFonts w:ascii="Times New Roman" w:hAnsi="Times New Roman" w:cs="Times New Roman"/>
          <w:sz w:val="24"/>
          <w:szCs w:val="24"/>
          <w:lang w:val="en-US"/>
        </w:rPr>
        <w:t xml:space="preserve">parameters: intercept rosette size after growth, intercept number of flower heads, intercept flower head height, probability of establishment from new seed, probability of establishment from the seed bank, and probability of seed release from flower heads. </w:t>
      </w:r>
      <w:r w:rsidR="000F50F2">
        <w:rPr>
          <w:rFonts w:ascii="Times New Roman" w:hAnsi="Times New Roman" w:cs="Times New Roman"/>
          <w:sz w:val="24"/>
          <w:szCs w:val="24"/>
          <w:lang w:val="en-US"/>
        </w:rPr>
        <w:t>Additional</w:t>
      </w:r>
      <w:r w:rsidRPr="0035621E">
        <w:rPr>
          <w:rFonts w:ascii="Times New Roman" w:hAnsi="Times New Roman" w:cs="Times New Roman"/>
          <w:sz w:val="24"/>
          <w:szCs w:val="24"/>
          <w:lang w:val="en-US"/>
        </w:rPr>
        <w:t xml:space="preserve"> details on the impact of warming on these parameters can be found in </w:t>
      </w:r>
      <w:r w:rsidR="00BC492F">
        <w:rPr>
          <w:rFonts w:ascii="Times New Roman" w:hAnsi="Times New Roman" w:cs="Times New Roman"/>
          <w:sz w:val="24"/>
          <w:szCs w:val="24"/>
          <w:lang w:val="en-US"/>
        </w:rPr>
        <w:t xml:space="preserve">Appendix S1, </w:t>
      </w:r>
      <w:r w:rsidR="00BC492F" w:rsidRPr="00F61BEA">
        <w:rPr>
          <w:rFonts w:ascii="Times New Roman" w:hAnsi="Times New Roman" w:cs="Times New Roman"/>
          <w:sz w:val="24"/>
          <w:szCs w:val="24"/>
          <w:lang w:val="en-US"/>
        </w:rPr>
        <w:t xml:space="preserve">Table </w:t>
      </w:r>
      <w:r w:rsidR="00BC492F">
        <w:rPr>
          <w:rFonts w:ascii="Times New Roman" w:hAnsi="Times New Roman" w:cs="Times New Roman"/>
          <w:sz w:val="24"/>
          <w:szCs w:val="24"/>
          <w:lang w:val="en-US"/>
        </w:rPr>
        <w:t>S</w:t>
      </w:r>
      <w:r w:rsidR="00BC492F" w:rsidRPr="00F61BEA">
        <w:rPr>
          <w:rFonts w:ascii="Times New Roman" w:hAnsi="Times New Roman" w:cs="Times New Roman"/>
          <w:sz w:val="24"/>
          <w:szCs w:val="24"/>
          <w:lang w:val="en-US"/>
        </w:rPr>
        <w:t>1</w:t>
      </w:r>
      <w:r w:rsidRPr="0035621E">
        <w:rPr>
          <w:rFonts w:ascii="Times New Roman" w:hAnsi="Times New Roman" w:cs="Times New Roman"/>
          <w:sz w:val="24"/>
          <w:szCs w:val="24"/>
          <w:lang w:val="en-US"/>
        </w:rPr>
        <w:t>.</w:t>
      </w:r>
    </w:p>
    <w:p w14:paraId="3AA6A1E8" w14:textId="77777777"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Seed predation by ants also had a strong impact on spread, with drastic increases in spread rates observed when this predation was excluded. For the unwarmed scenario where ant-driven movement of seeds was included, excluding predation increased the median simulated spread rate from 16.5 m/yr to 52.2 m/yr</w:t>
      </w:r>
      <w:bookmarkStart w:id="9" w:name="_Hlk165926313"/>
      <w:r w:rsidRPr="0035621E">
        <w:rPr>
          <w:rFonts w:ascii="Times New Roman" w:hAnsi="Times New Roman" w:cs="Times New Roman"/>
          <w:sz w:val="24"/>
          <w:szCs w:val="24"/>
          <w:lang w:val="en-US"/>
        </w:rPr>
        <w:t>; an increase from 32.2 m/yr to 97.9 m/yr</w:t>
      </w:r>
      <w:bookmarkEnd w:id="9"/>
      <w:r w:rsidRPr="0035621E">
        <w:rPr>
          <w:rFonts w:ascii="Times New Roman" w:hAnsi="Times New Roman" w:cs="Times New Roman"/>
          <w:sz w:val="24"/>
          <w:szCs w:val="24"/>
          <w:lang w:val="en-US"/>
        </w:rPr>
        <w:t xml:space="preserve"> was observed when comparing the same scenarios under warmed conditions. Similarly, for the unwarmed scenario where ant-driven movement of seeds was excluded, excluding predation increased the median </w:t>
      </w:r>
      <w:r w:rsidRPr="0035621E">
        <w:rPr>
          <w:rFonts w:ascii="Times New Roman" w:hAnsi="Times New Roman" w:cs="Times New Roman"/>
          <w:sz w:val="24"/>
          <w:szCs w:val="24"/>
          <w:lang w:val="en-US"/>
        </w:rPr>
        <w:lastRenderedPageBreak/>
        <w:t>spread rate from</w:t>
      </w:r>
      <w:r w:rsidRPr="0035621E" w:rsidDel="000C1357">
        <w:rPr>
          <w:rFonts w:ascii="Times New Roman" w:hAnsi="Times New Roman" w:cs="Times New Roman"/>
          <w:sz w:val="24"/>
          <w:szCs w:val="24"/>
          <w:lang w:val="en-US"/>
        </w:rPr>
        <w:t xml:space="preserve"> </w:t>
      </w:r>
      <w:r w:rsidRPr="0035621E">
        <w:rPr>
          <w:rFonts w:ascii="Times New Roman" w:hAnsi="Times New Roman" w:cs="Times New Roman"/>
          <w:sz w:val="24"/>
          <w:szCs w:val="24"/>
          <w:lang w:val="en-US"/>
        </w:rPr>
        <w:t>19.3 m/yr to 70.3 m/yr; an increase from 38.2 m/yr to 137.1 m/yr was observed when comparing the same scenarios but under warmed conditions.</w:t>
      </w:r>
    </w:p>
    <w:p w14:paraId="175D6D5A" w14:textId="5F4F9A2F" w:rsidR="009D7044" w:rsidRDefault="0035621E" w:rsidP="0035621E">
      <w:pPr>
        <w:spacing w:after="0" w:line="480" w:lineRule="auto"/>
        <w:ind w:firstLine="284"/>
        <w:rPr>
          <w:rFonts w:ascii="Times New Roman" w:hAnsi="Times New Roman" w:cs="Times New Roman"/>
          <w:sz w:val="24"/>
          <w:szCs w:val="24"/>
        </w:rPr>
      </w:pPr>
      <w:r w:rsidRPr="0035621E">
        <w:rPr>
          <w:rFonts w:ascii="Times New Roman" w:hAnsi="Times New Roman" w:cs="Times New Roman"/>
          <w:sz w:val="24"/>
          <w:szCs w:val="24"/>
          <w:lang w:val="en-US"/>
        </w:rPr>
        <w:t xml:space="preserve">Interestingly, including ant-driven seed movement reduced median spread rates compared to the scenarios where it was absent. In the scenarios with predation, the inclusion of ant-driven seed movement decreased spread rate under both unwarmed (19.3 m/yr to 16.5 m/yr) and warmed (38.2 m/yr to 32.2 m/yr) conditions. Similarly, in scenarios without predation, the exclusion of ant-driven movement again reduced spread rate under both unwarmed (70.3 m/yr to 52.2 m/yr) and warmed (137.1 m/yr to 97.9 m/yr) conditions. These decreases arose because the central-place foraging habits of ants interacts with density-dependent mortality in the model (see Appendix </w:t>
      </w:r>
      <w:r w:rsidR="00BC492F">
        <w:rPr>
          <w:rFonts w:ascii="Times New Roman" w:hAnsi="Times New Roman" w:cs="Times New Roman"/>
          <w:sz w:val="24"/>
          <w:szCs w:val="24"/>
          <w:lang w:val="en-US"/>
        </w:rPr>
        <w:t>S1</w:t>
      </w:r>
      <w:r w:rsidRPr="0035621E">
        <w:rPr>
          <w:rFonts w:ascii="Times New Roman" w:hAnsi="Times New Roman" w:cs="Times New Roman"/>
          <w:sz w:val="24"/>
          <w:szCs w:val="24"/>
          <w:lang w:val="en-US"/>
        </w:rPr>
        <w:t xml:space="preserve"> for details). Seeds moved to the nearest nest by ants were concentrated in a small area; when these seeds germinated, many of the new individuals died due to density-driven space and resource constraints. In the absence of ant-driven seed movement, seeds would be more spread out on the landscape, leading to less density-dependent mortality and thus more individuals to reproduce and drive spread.</w:t>
      </w:r>
      <w:r w:rsidR="00DD5C18">
        <w:rPr>
          <w:rFonts w:ascii="Times New Roman" w:hAnsi="Times New Roman" w:cs="Times New Roman"/>
          <w:sz w:val="24"/>
          <w:szCs w:val="24"/>
        </w:rPr>
        <w:t xml:space="preserve"> </w:t>
      </w:r>
    </w:p>
    <w:p w14:paraId="5700CFE6" w14:textId="77777777" w:rsidR="009D7044" w:rsidRDefault="009D7044" w:rsidP="004C224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Sensitivity analyses</w:t>
      </w:r>
    </w:p>
    <w:p w14:paraId="5D6D94DA" w14:textId="335E4196"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Sensitivity analyses indicated notable differences in the relative importance of various wind- and ant-driven dispersal parameters. Estimated elasticities of the standard deviations of both flower head height and terminal velocity, the surrounding vegetation height, ant nest density, and maximum search distance from ant nests, were low relative to those of other parameters (Figure 2). On the other hand, probability of seed removal by ants and the probability of subsequent predation both had high relative elasticities. The relative elasticity of mean seed terminal velocity was also high, likely because the baseline value of this parameter lies on the part of its response </w:t>
      </w:r>
      <w:r w:rsidRPr="0035621E">
        <w:rPr>
          <w:rFonts w:ascii="Times New Roman" w:hAnsi="Times New Roman" w:cs="Times New Roman"/>
          <w:sz w:val="24"/>
          <w:szCs w:val="24"/>
          <w:lang w:val="en-US"/>
        </w:rPr>
        <w:lastRenderedPageBreak/>
        <w:t xml:space="preserve">curve shown in Figure 3 where consistent decreases in terminal velocity start to cause increasingly large effects on simulated spread rates. </w:t>
      </w:r>
    </w:p>
    <w:p w14:paraId="4FF44C2E" w14:textId="690790B0"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Significant linear correlations with median spread rate were observed for the 3 probabilistic dispersal parameters. The probability of seed removal by ants was negatively correlated with median spread rate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-0.986,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&lt; 0.001), as was the probability of seed predation when removed by ants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-0.970,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&lt; 0.001), since more seeds removed by ants resulted in larger numbers of seeds exposed to predation and thus fewer seeds that could potentially establish. The probability of seed release from flower heads was positively correlated with median spread rate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0.972,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&lt; 0.001), where more seeds released resulted in a higher occurrence of nonzero dispersal distances and thus higher spread rate. Interestingly, while Figure 3 shows that the probabilities of both removal and predation of seeds by ants, as well as the probability of seed release from flower heads, had notable impacts on spread rates across their range of [0, 1], the probability of seed release did not have a high elasticity. This is likely because the observed values of seed removal probability (0.948) and seed predation probability (0.900) were already close to the maximum of 1 while seed release probability (0.056) was close to the minimum of 0; thus, the same percent change in the former two was much larger in absolute terms and thus produced a much larger change in spread rate than the latter.</w:t>
      </w:r>
    </w:p>
    <w:p w14:paraId="28D03960" w14:textId="0F5DF7E7" w:rsidR="00072FF3" w:rsidRDefault="0035621E" w:rsidP="0035621E">
      <w:pPr>
        <w:spacing w:after="0" w:line="480" w:lineRule="auto"/>
        <w:ind w:firstLine="284"/>
        <w:rPr>
          <w:rFonts w:ascii="Times New Roman" w:hAnsi="Times New Roman" w:cs="Times New Roman"/>
          <w:sz w:val="24"/>
          <w:szCs w:val="24"/>
        </w:rPr>
      </w:pPr>
      <w:r w:rsidRPr="0035621E">
        <w:rPr>
          <w:rFonts w:ascii="Times New Roman" w:hAnsi="Times New Roman" w:cs="Times New Roman"/>
          <w:sz w:val="24"/>
          <w:szCs w:val="24"/>
          <w:lang w:val="en-US"/>
        </w:rPr>
        <w:t>For the remaining 11 parameters that were incrementally perturbed between ±50% of their baseline values, significant positive linear correlations with median simulated spread rate were generally observed (Figure 3), though not for all of the parameters examined. Neither the ant nest density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0.019,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 0.956) nor the ants’ maximum search distance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0.047,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 0.890) were significantly correlated with median spread rate. Surrounding vegetation height was negatively correlated with median spread rate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-0.874,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&lt; 0.001), as taller vegetation near </w:t>
      </w:r>
      <w:r w:rsidRPr="0035621E">
        <w:rPr>
          <w:rFonts w:ascii="Times New Roman" w:hAnsi="Times New Roman" w:cs="Times New Roman"/>
          <w:sz w:val="24"/>
          <w:szCs w:val="24"/>
          <w:lang w:val="en-US"/>
        </w:rPr>
        <w:lastRenderedPageBreak/>
        <w:t>the point of seed release decreases air time and wind speeds, reducing dispersal distances. Mean seed terminal velocity was also negatively correlated with median spread rate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-0.890,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&lt; 0.001), though this relationship was nonlinear over the range examined, with spread rate increasing asymptotically as terminal velocity approaches zero. Note that significance for all correlations listed above, as well as those listed in Figure 3, was tested with </w:t>
      </w:r>
      <m:oMath>
        <m:r>
          <w:rPr>
            <w:rFonts w:ascii="Cambria Math" w:hAnsi="Cambria Math" w:cs="Times New Roman"/>
            <w:sz w:val="24"/>
            <w:szCs w:val="24"/>
            <w:lang w:val="en-US"/>
          </w:rPr>
          <m:t>n</m:t>
        </m:r>
      </m:oMath>
      <w:r w:rsidRPr="0035621E">
        <w:rPr>
          <w:rFonts w:ascii="Times New Roman" w:hAnsi="Times New Roman" w:cs="Times New Roman"/>
          <w:sz w:val="24"/>
          <w:szCs w:val="24"/>
          <w:lang w:val="en-US"/>
        </w:rPr>
        <w:t xml:space="preserve"> = 11 and df = 9.</w:t>
      </w:r>
    </w:p>
    <w:p w14:paraId="597234AD" w14:textId="3DC11281" w:rsidR="00DB4305" w:rsidRPr="007C1F05" w:rsidRDefault="00072FF3" w:rsidP="004C2241">
      <w:pPr>
        <w:spacing w:after="0" w:line="480" w:lineRule="auto"/>
        <w:jc w:val="both"/>
        <w:rPr>
          <w:rFonts w:ascii="Times New Roman" w:hAnsi="Times New Roman" w:cs="Times New Roman"/>
          <w:b/>
          <w:bCs/>
          <w:sz w:val="32"/>
          <w:szCs w:val="32"/>
        </w:rPr>
      </w:pPr>
      <w:r>
        <w:rPr>
          <w:rFonts w:ascii="Times New Roman" w:hAnsi="Times New Roman" w:cs="Times New Roman"/>
          <w:b/>
          <w:bCs/>
          <w:sz w:val="24"/>
          <w:szCs w:val="24"/>
        </w:rPr>
        <w:t>Discussion</w:t>
      </w:r>
    </w:p>
    <w:p w14:paraId="77611B34" w14:textId="793B719C" w:rsidR="0035621E" w:rsidRPr="0035621E" w:rsidRDefault="0035621E" w:rsidP="0035621E">
      <w:pPr>
        <w:spacing w:after="0" w:line="480" w:lineRule="auto"/>
        <w:ind w:firstLine="284"/>
        <w:rPr>
          <w:rFonts w:ascii="Times New Roman" w:hAnsi="Times New Roman" w:cs="Times New Roman"/>
          <w:sz w:val="24"/>
          <w:szCs w:val="24"/>
          <w:lang w:val="en-US"/>
        </w:rPr>
      </w:pPr>
      <w:bookmarkStart w:id="10" w:name="_Hlk86582442"/>
      <w:bookmarkEnd w:id="7"/>
      <w:r w:rsidRPr="0035621E">
        <w:rPr>
          <w:rFonts w:ascii="Times New Roman" w:hAnsi="Times New Roman" w:cs="Times New Roman"/>
          <w:sz w:val="24"/>
          <w:szCs w:val="24"/>
          <w:lang w:val="en-US"/>
        </w:rPr>
        <w:t xml:space="preserve">Relatively few studies quantify multiple modes of dispersal for any plant species (Rogers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2019), likely because the resource costs to do so are too high given how challenging it is to accurately quantify dispersal. Here, we </w:t>
      </w:r>
      <w:r w:rsidR="0052077A">
        <w:rPr>
          <w:rFonts w:ascii="Times New Roman" w:hAnsi="Times New Roman" w:cs="Times New Roman"/>
          <w:sz w:val="24"/>
          <w:szCs w:val="24"/>
          <w:lang w:val="en-US"/>
        </w:rPr>
        <w:t>show</w:t>
      </w:r>
      <w:r w:rsidRPr="0035621E">
        <w:rPr>
          <w:rFonts w:ascii="Times New Roman" w:hAnsi="Times New Roman" w:cs="Times New Roman"/>
          <w:sz w:val="24"/>
          <w:szCs w:val="24"/>
          <w:lang w:val="en-US"/>
        </w:rPr>
        <w:t xml:space="preserve"> that multiple modes of dispersal and the resulting population spread can be realistically modelled despite uncertainty about the exact values of all relevant dispersal parameters. With sensitivity analyses, it is then possible to identify which of those parameters likely matter most for projecting spread in both current and future climates. When resources such as time, money, and labor are limited, this approach can allow researchers to prioritize empirical resources to resolve only the most important dispersal parameters.</w:t>
      </w:r>
    </w:p>
    <w:p w14:paraId="635D94B2" w14:textId="40F1CF18"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Here, we demonstrate our approach using the first model of population spread in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to address both wind- and ant-driven dispersal simultaneously, augmenting previous studies that examine population spread using only wind-driven primary dispersal (e.g. Jongejans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2011; Skarpaas &amp; Shea 2007) or only the initiation of ant-driven secondary dispersal (e.g. Drees &amp; Shea 2024a; Jongejans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2015). Our results suggest that, compared to ant-driven secondary dispersal, wind-driven primary dispersal has a much stronger influence on how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spreads; determinants of wind dispersal such as flower head height, terminal velocity, and wind speed were important contributors to population spread, while certain ant-related dispersal parameters such as maximum search distance or ant nest density individually contributed little </w:t>
      </w:r>
      <w:r w:rsidRPr="0035621E">
        <w:rPr>
          <w:rFonts w:ascii="Times New Roman" w:hAnsi="Times New Roman" w:cs="Times New Roman"/>
          <w:sz w:val="24"/>
          <w:szCs w:val="24"/>
          <w:lang w:val="en-US"/>
        </w:rPr>
        <w:lastRenderedPageBreak/>
        <w:t>and need not be a top priority for future field work. This illustrates that resources that would have otherwise been spent quantifying ant-driven seed dispersal can better be used to quantify more impactful yet poorly understood parameters. One such parameter identified by our approach is the rate of seed predation which, as we demonstrate, strongly influences spread rates and thus should be the focus of future spread-related studies in this species.</w:t>
      </w:r>
    </w:p>
    <w:p w14:paraId="181E65C8" w14:textId="384ED7C6"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Research on ant-seed interactions tends to consider the relationship either as predation or as dispersal, without necessarily quantifying where on the spectrum between the two matters actually lie. Unfortunately, seed fate is notoriously difficult to determine, as tracking individual seeds to their final dispersal location (or, if destroyed, their demise) is extremely resource-intensive and </w:t>
      </w:r>
      <w:r w:rsidR="0052077A">
        <w:rPr>
          <w:rFonts w:ascii="Times New Roman" w:hAnsi="Times New Roman" w:cs="Times New Roman"/>
          <w:sz w:val="24"/>
          <w:szCs w:val="24"/>
          <w:lang w:val="en-US"/>
        </w:rPr>
        <w:t>often</w:t>
      </w:r>
      <w:r w:rsidRPr="0035621E">
        <w:rPr>
          <w:rFonts w:ascii="Times New Roman" w:hAnsi="Times New Roman" w:cs="Times New Roman"/>
          <w:sz w:val="24"/>
          <w:szCs w:val="24"/>
          <w:lang w:val="en-US"/>
        </w:rPr>
        <w:t xml:space="preserve"> not possible (e.g. if they are taken underground). </w:t>
      </w:r>
      <w:commentRangeStart w:id="11"/>
      <w:commentRangeStart w:id="12"/>
      <w:commentRangeStart w:id="13"/>
      <w:commentRangeStart w:id="14"/>
      <w:r w:rsidRPr="0035621E">
        <w:rPr>
          <w:rFonts w:ascii="Times New Roman" w:hAnsi="Times New Roman" w:cs="Times New Roman"/>
          <w:sz w:val="24"/>
          <w:szCs w:val="24"/>
          <w:lang w:val="en-US"/>
        </w:rPr>
        <w:t xml:space="preserve">The fact that simulated predation of propagules strongly impacts how populations spread </w:t>
      </w:r>
      <w:commentRangeEnd w:id="11"/>
      <w:r w:rsidRPr="0035621E">
        <w:rPr>
          <w:rStyle w:val="CommentReference"/>
          <w:rFonts w:ascii="Times New Roman" w:hAnsi="Times New Roman" w:cs="Times New Roman"/>
          <w:sz w:val="24"/>
          <w:szCs w:val="24"/>
          <w:lang w:val="en-US"/>
        </w:rPr>
        <w:commentReference w:id="11"/>
      </w:r>
      <w:commentRangeEnd w:id="12"/>
      <w:r w:rsidR="00000000" w:rsidRPr="0035621E">
        <w:rPr>
          <w:rStyle w:val="CommentReference"/>
          <w:rFonts w:ascii="Times New Roman" w:hAnsi="Times New Roman" w:cs="Times New Roman"/>
          <w:sz w:val="24"/>
          <w:szCs w:val="24"/>
          <w:lang w:val="en-US"/>
        </w:rPr>
        <w:commentReference w:id="12"/>
      </w:r>
      <w:commentRangeEnd w:id="13"/>
      <w:r w:rsidR="00000000" w:rsidRPr="0035621E">
        <w:rPr>
          <w:rStyle w:val="CommentReference"/>
          <w:rFonts w:ascii="Times New Roman" w:hAnsi="Times New Roman" w:cs="Times New Roman"/>
          <w:sz w:val="24"/>
          <w:szCs w:val="24"/>
          <w:lang w:val="en-US"/>
        </w:rPr>
        <w:commentReference w:id="13"/>
      </w:r>
      <w:commentRangeEnd w:id="14"/>
      <w:r w:rsidR="00000000" w:rsidRPr="0035621E">
        <w:rPr>
          <w:rStyle w:val="CommentReference"/>
          <w:rFonts w:ascii="Times New Roman" w:hAnsi="Times New Roman" w:cs="Times New Roman"/>
          <w:sz w:val="24"/>
          <w:szCs w:val="24"/>
          <w:lang w:val="en-US"/>
        </w:rPr>
        <w:commentReference w:id="14"/>
      </w:r>
      <w:r w:rsidRPr="0035621E">
        <w:rPr>
          <w:rFonts w:ascii="Times New Roman" w:hAnsi="Times New Roman" w:cs="Times New Roman"/>
          <w:sz w:val="24"/>
          <w:szCs w:val="24"/>
          <w:lang w:val="en-US"/>
        </w:rPr>
        <w:t xml:space="preserve">shows that for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and likely other species as well, spread rates depend on not only how far propagules move but also how many propagules move. Dispersal (including subsequent population spread) and propagule count are fundamentally intertwined because predation or any other form of destruction limits the number of propagules in the system, making it more difficult for spread-driving long-distance dispersal events to be achieved simply by virtue of sheer numbers. Conceptually, it is much easier to hit a long-distance dispersal bullseye when there are more propagules available to do so. Thus, given the importance of propagule count in determining spread, it is critical to avoid attributing seed removal by dispersers entirely to either dispersal or predation, as these two phenomena are commonly conflated (Vander Wall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2005). Assuming that all propagules are successfully dispersed will overestimate spread, while assuming that all propagules experience predation will underestimate it; when incomplete models based on these simplifying assumptions are used in management, this could result in wasted resources. In reality, some propagules are </w:t>
      </w:r>
      <w:r w:rsidRPr="0035621E">
        <w:rPr>
          <w:rFonts w:ascii="Times New Roman" w:hAnsi="Times New Roman" w:cs="Times New Roman"/>
          <w:sz w:val="24"/>
          <w:szCs w:val="24"/>
          <w:lang w:val="en-US"/>
        </w:rPr>
        <w:lastRenderedPageBreak/>
        <w:t>dispersed intact while others experience predation and, as our sensitivity analyses indicate, accurately estimating the relative proportions of these phenomena is critical for accurately quantifying how quickly populations move. The extent to which predators consuming propagules (or propagule-producing individuals) impacts invasion speed, though, depends on the system and the relative benefit of dispersal that comes with predation (Sullivan &amp; Shaw 2023).</w:t>
      </w:r>
    </w:p>
    <w:p w14:paraId="61335975" w14:textId="77777777" w:rsidR="0035621E" w:rsidRPr="0035621E" w:rsidRDefault="0035621E" w:rsidP="0035621E">
      <w:pPr>
        <w:spacing w:after="0" w:line="480" w:lineRule="auto"/>
        <w:ind w:firstLine="284"/>
        <w:rPr>
          <w:rFonts w:ascii="Times New Roman" w:hAnsi="Times New Roman" w:cs="Times New Roman"/>
          <w:sz w:val="24"/>
          <w:szCs w:val="24"/>
          <w:lang w:val="en-US"/>
        </w:rPr>
      </w:pPr>
      <w:commentRangeStart w:id="15"/>
      <w:commentRangeStart w:id="16"/>
      <w:r w:rsidRPr="0035621E">
        <w:rPr>
          <w:rFonts w:ascii="Times New Roman" w:hAnsi="Times New Roman" w:cs="Times New Roman"/>
          <w:sz w:val="24"/>
          <w:szCs w:val="24"/>
          <w:lang w:val="en-US"/>
        </w:rPr>
        <w:t xml:space="preserve">While properly quantifying the predation of propagules may help resolve some uncertainty regarding how species like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spread in current climates, it is also important to understand how key determinants of spread rates will change in future climates.</w:t>
      </w:r>
      <w:commentRangeEnd w:id="15"/>
      <w:r w:rsidRPr="0035621E">
        <w:rPr>
          <w:rStyle w:val="CommentReference"/>
          <w:rFonts w:ascii="Times New Roman" w:hAnsi="Times New Roman" w:cs="Times New Roman"/>
          <w:sz w:val="24"/>
          <w:szCs w:val="24"/>
          <w:lang w:val="en-US"/>
        </w:rPr>
        <w:commentReference w:id="15"/>
      </w:r>
      <w:commentRangeEnd w:id="16"/>
      <w:r w:rsidR="00000000" w:rsidRPr="0035621E">
        <w:rPr>
          <w:rStyle w:val="CommentReference"/>
          <w:rFonts w:ascii="Times New Roman" w:hAnsi="Times New Roman" w:cs="Times New Roman"/>
          <w:sz w:val="24"/>
          <w:szCs w:val="24"/>
          <w:lang w:val="en-US"/>
        </w:rPr>
        <w:commentReference w:id="16"/>
      </w:r>
      <w:r w:rsidRPr="0035621E">
        <w:rPr>
          <w:rFonts w:ascii="Times New Roman" w:hAnsi="Times New Roman" w:cs="Times New Roman"/>
          <w:sz w:val="24"/>
          <w:szCs w:val="24"/>
          <w:lang w:val="en-US"/>
        </w:rPr>
        <w:t xml:space="preserve"> For species that experience warming-induced shifts in key demographic and dispersal parameters, the consequences of not accounting for these shifts can be costly: if climate change affects how populations of a given species grow, reproduce, and spread, then current management regimes aimed at controlling or promoting the spread of that species may become less effective (Keller &amp; Shea 2022). Here, we show that climate change has significant potential to impact dispersal patterns, and can drastically increase how quickly populations spread. For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our analyses provide clear evidence that elevated growing temperatures increase the rate at which this species spreads, in alignment with previous studies on dispersal and spread in</w:t>
      </w:r>
      <w:r w:rsidRPr="0035621E">
        <w:rPr>
          <w:rFonts w:ascii="Times New Roman" w:hAnsi="Times New Roman" w:cs="Times New Roman"/>
          <w:i/>
          <w:iCs/>
          <w:sz w:val="24"/>
          <w:szCs w:val="24"/>
          <w:lang w:val="en-US"/>
        </w:rPr>
        <w:t xml:space="preserve"> </w:t>
      </w:r>
      <w:r w:rsidRPr="0035621E">
        <w:rPr>
          <w:rFonts w:ascii="Times New Roman" w:hAnsi="Times New Roman" w:cs="Times New Roman"/>
          <w:sz w:val="24"/>
          <w:szCs w:val="24"/>
          <w:lang w:val="en-US"/>
        </w:rPr>
        <w:t xml:space="preserve">this species (e.g. Drees &amp; Shea 2024b; Keller &amp; Shea 2021; Teller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2016; Zhang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2011, 2012). While our baseline spread rate estimates without ant-driven dispersal or predation were similar to the those observed in previous experiments in this system, the near-doubling of spread rate that we observed in our individual-based model was higher than the increases reported in similar stage-based studies; Zhang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(2011) report a 27% increase, Teller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(2016) a 38% increase, and Drees and Shea (2024b) a 42% increase. The percent increase observed here was much higher likely because our survival and flowering rates were derived from a different experimental cohort.</w:t>
      </w:r>
    </w:p>
    <w:p w14:paraId="497B181E" w14:textId="09FBD95D" w:rsidR="00374C55" w:rsidRDefault="0035621E" w:rsidP="0035621E">
      <w:pPr>
        <w:spacing w:after="0" w:line="480" w:lineRule="auto"/>
        <w:ind w:firstLine="284"/>
        <w:rPr>
          <w:rFonts w:ascii="Times New Roman" w:hAnsi="Times New Roman" w:cs="Times New Roman"/>
          <w:sz w:val="24"/>
          <w:szCs w:val="24"/>
        </w:rPr>
      </w:pPr>
      <w:r w:rsidRPr="0035621E">
        <w:rPr>
          <w:rFonts w:ascii="Times New Roman" w:hAnsi="Times New Roman" w:cs="Times New Roman"/>
          <w:sz w:val="24"/>
          <w:szCs w:val="24"/>
          <w:lang w:val="en-US"/>
        </w:rPr>
        <w:lastRenderedPageBreak/>
        <w:t xml:space="preserve">Though many questions on total dispersal in both current and future climates remain, our study is still an exciting first step towards better understanding complex assemblages of dispersal pathways and how they contribute to the spread of populations. Via a modelling-based approach paired with sensitivity analyses, we show that it is possible to identify which dispersal pathways and parameters influence spread the most even if they are not fully understood, which can then be used to help inform the future lines of inquiry for which limited resources should be used. In our case, the ramifications of employing this approach are noteworthy: we likely would have spent </w:t>
      </w:r>
      <w:r w:rsidRPr="0035621E">
        <w:rPr>
          <w:rFonts w:ascii="Times New Roman" w:hAnsi="Times New Roman" w:cs="Times New Roman"/>
          <w:i/>
          <w:iCs/>
          <w:sz w:val="24"/>
          <w:szCs w:val="24"/>
          <w:lang w:val="en-US"/>
        </w:rPr>
        <w:t>years</w:t>
      </w:r>
      <w:r w:rsidRPr="0035621E">
        <w:rPr>
          <w:rFonts w:ascii="Times New Roman" w:hAnsi="Times New Roman" w:cs="Times New Roman"/>
          <w:sz w:val="24"/>
          <w:szCs w:val="24"/>
          <w:lang w:val="en-US"/>
        </w:rPr>
        <w:t xml:space="preserve"> empirically quantifying ant-driven seed movement rather than the much more impactful phenomena like wind dispersal and seed predation. Using our approach to triage where limited empirical resources should be used will be increasingly useful for effectively understanding and managing invasive species in the face of global change, as uncertainty about how these species will disperse and spread continues to grow.</w:t>
      </w:r>
    </w:p>
    <w:p w14:paraId="7BA81727" w14:textId="0BDFDAF0" w:rsidR="004C16B4" w:rsidRPr="007C1F05" w:rsidRDefault="00394F58" w:rsidP="00C64983">
      <w:pPr>
        <w:spacing w:after="0" w:line="480" w:lineRule="auto"/>
        <w:rPr>
          <w:rFonts w:ascii="Times New Roman" w:hAnsi="Times New Roman" w:cs="Times New Roman"/>
          <w:b/>
          <w:bCs/>
          <w:sz w:val="32"/>
          <w:szCs w:val="32"/>
        </w:rPr>
      </w:pPr>
      <w:r>
        <w:rPr>
          <w:rFonts w:ascii="Times New Roman" w:hAnsi="Times New Roman" w:cs="Times New Roman"/>
          <w:b/>
          <w:bCs/>
          <w:sz w:val="24"/>
          <w:szCs w:val="24"/>
        </w:rPr>
        <w:t>Acknowledgements</w:t>
      </w:r>
    </w:p>
    <w:p w14:paraId="39616B71" w14:textId="77777777" w:rsid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The authors would like to thank K. Marchetto and E. Jongejans for providing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terminal velocity data for use in wind dispersal models, and O. Skarpaas for providing advice on dispersal models. E. Hanks, L. Leites, and C. Lowry provided feedback on the manuscript. T. Drees was supported by the Alumni Professor in the Biological Sciences endowment to K. Shea.</w:t>
      </w:r>
    </w:p>
    <w:p w14:paraId="2C511620" w14:textId="2F9D1CAA" w:rsidR="00B437A9" w:rsidRPr="00066D6F" w:rsidRDefault="00B437A9"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Conflict of interest statement</w:t>
      </w:r>
    </w:p>
    <w:p w14:paraId="26CED2BE" w14:textId="1C014C67" w:rsidR="00B437A9" w:rsidRDefault="00B437A9" w:rsidP="00C64983">
      <w:pPr>
        <w:spacing w:after="0" w:line="480" w:lineRule="auto"/>
        <w:ind w:firstLine="284"/>
        <w:rPr>
          <w:rFonts w:ascii="Times New Roman" w:hAnsi="Times New Roman" w:cs="Times New Roman"/>
          <w:sz w:val="24"/>
          <w:szCs w:val="24"/>
        </w:rPr>
      </w:pPr>
      <w:r w:rsidRPr="00B437A9">
        <w:rPr>
          <w:rFonts w:ascii="Times New Roman" w:hAnsi="Times New Roman" w:cs="Times New Roman"/>
          <w:sz w:val="24"/>
          <w:szCs w:val="24"/>
        </w:rPr>
        <w:t>The authors have no conflicts of interest to declare.</w:t>
      </w:r>
    </w:p>
    <w:p w14:paraId="069B74CC" w14:textId="027E51C3" w:rsidR="00B437A9" w:rsidRPr="00066D6F" w:rsidRDefault="00B437A9"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Author contributions</w:t>
      </w:r>
    </w:p>
    <w:p w14:paraId="3D57635F" w14:textId="74CD66D4" w:rsidR="00A7444F" w:rsidRDefault="0028464B" w:rsidP="00C64983">
      <w:pPr>
        <w:spacing w:after="0" w:line="480" w:lineRule="auto"/>
        <w:ind w:firstLine="284"/>
        <w:rPr>
          <w:rFonts w:ascii="Times New Roman" w:hAnsi="Times New Roman" w:cs="Times New Roman"/>
          <w:b/>
          <w:bCs/>
          <w:sz w:val="32"/>
          <w:szCs w:val="32"/>
        </w:rPr>
      </w:pPr>
      <w:r>
        <w:rPr>
          <w:rFonts w:ascii="Times New Roman" w:hAnsi="Times New Roman" w:cs="Times New Roman"/>
          <w:sz w:val="24"/>
          <w:szCs w:val="24"/>
        </w:rPr>
        <w:t xml:space="preserve">T.H.D. and K.S. conceived the project. </w:t>
      </w:r>
      <w:r w:rsidR="00B437A9" w:rsidRPr="00B437A9">
        <w:rPr>
          <w:rFonts w:ascii="Times New Roman" w:hAnsi="Times New Roman" w:cs="Times New Roman"/>
          <w:sz w:val="24"/>
          <w:szCs w:val="24"/>
        </w:rPr>
        <w:t xml:space="preserve">T.H.D. </w:t>
      </w:r>
      <w:r w:rsidR="00B437A9">
        <w:rPr>
          <w:rFonts w:ascii="Times New Roman" w:hAnsi="Times New Roman" w:cs="Times New Roman"/>
          <w:sz w:val="24"/>
          <w:szCs w:val="24"/>
        </w:rPr>
        <w:t xml:space="preserve">developed the individual-based </w:t>
      </w:r>
      <w:r w:rsidR="00E73C61">
        <w:rPr>
          <w:rFonts w:ascii="Times New Roman" w:hAnsi="Times New Roman" w:cs="Times New Roman"/>
          <w:sz w:val="24"/>
          <w:szCs w:val="24"/>
        </w:rPr>
        <w:t xml:space="preserve">population </w:t>
      </w:r>
      <w:r w:rsidR="00B437A9">
        <w:rPr>
          <w:rFonts w:ascii="Times New Roman" w:hAnsi="Times New Roman" w:cs="Times New Roman"/>
          <w:sz w:val="24"/>
          <w:szCs w:val="24"/>
        </w:rPr>
        <w:t>spread model, conducted all data analyses</w:t>
      </w:r>
      <w:r w:rsidR="00B437A9" w:rsidRPr="00B437A9">
        <w:rPr>
          <w:rFonts w:ascii="Times New Roman" w:hAnsi="Times New Roman" w:cs="Times New Roman"/>
          <w:sz w:val="24"/>
          <w:szCs w:val="24"/>
        </w:rPr>
        <w:t xml:space="preserve">, and led writing of the initial manuscript. T.H.D. and K.S. </w:t>
      </w:r>
      <w:r w:rsidR="00E73C61">
        <w:rPr>
          <w:rFonts w:ascii="Times New Roman" w:hAnsi="Times New Roman" w:cs="Times New Roman"/>
          <w:sz w:val="24"/>
          <w:szCs w:val="24"/>
        </w:rPr>
        <w:t xml:space="preserve">both </w:t>
      </w:r>
      <w:r w:rsidR="00B437A9" w:rsidRPr="00B437A9">
        <w:rPr>
          <w:rFonts w:ascii="Times New Roman" w:hAnsi="Times New Roman" w:cs="Times New Roman"/>
          <w:sz w:val="24"/>
          <w:szCs w:val="24"/>
        </w:rPr>
        <w:t>made contributions to subsequent versions of the manuscript.</w:t>
      </w:r>
    </w:p>
    <w:p w14:paraId="7A365006" w14:textId="575A07CB" w:rsidR="00DB4305" w:rsidRPr="00066D6F" w:rsidRDefault="00DB4305"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lastRenderedPageBreak/>
        <w:t>References</w:t>
      </w:r>
    </w:p>
    <w:bookmarkEnd w:id="10"/>
    <w:p w14:paraId="0177D664"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Bates, D., Maechler, M., Bolker, B., &amp; Walker, S. (2022). Package ‘lme4’, version 1.1-31. https://cran.r-project.org/web/packages/lme4/index.html.</w:t>
      </w:r>
    </w:p>
    <w:p w14:paraId="6D68673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fr-FR"/>
        </w:rPr>
        <w:t xml:space="preserve">Beckman, N.G., &amp; Sullivan, L.L. (2023). </w:t>
      </w:r>
      <w:r w:rsidRPr="0035621E">
        <w:rPr>
          <w:rFonts w:ascii="Times New Roman" w:hAnsi="Times New Roman" w:cs="Times New Roman"/>
          <w:sz w:val="24"/>
          <w:szCs w:val="24"/>
          <w:lang w:val="en-US"/>
        </w:rPr>
        <w:t xml:space="preserve">The causes and consequences of seed dispersal. </w:t>
      </w:r>
      <w:r w:rsidRPr="0035621E">
        <w:rPr>
          <w:rFonts w:ascii="Times New Roman" w:hAnsi="Times New Roman" w:cs="Times New Roman"/>
          <w:i/>
          <w:iCs/>
          <w:sz w:val="24"/>
          <w:szCs w:val="24"/>
          <w:lang w:val="en-US"/>
        </w:rPr>
        <w:t>Annual Review of Ecology, Evolution, and Systematics</w:t>
      </w:r>
      <w:r w:rsidRPr="0035621E">
        <w:rPr>
          <w:rFonts w:ascii="Times New Roman" w:hAnsi="Times New Roman" w:cs="Times New Roman"/>
          <w:sz w:val="24"/>
          <w:szCs w:val="24"/>
          <w:lang w:val="en-US"/>
        </w:rPr>
        <w:t>, 54(1), 403-427.</w:t>
      </w:r>
    </w:p>
    <w:p w14:paraId="594C54E3"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Bullock, J.M., White, S.M., Prudhomme, C., Tansey, C., Perea, R., &amp; Hooftman, D.A. (2012). Modelling spread of British wind‐dispersed plants under future wind speeds in a changing climate. </w:t>
      </w:r>
      <w:r w:rsidRPr="0035621E">
        <w:rPr>
          <w:rFonts w:ascii="Times New Roman" w:hAnsi="Times New Roman" w:cs="Times New Roman"/>
          <w:i/>
          <w:iCs/>
          <w:sz w:val="24"/>
          <w:szCs w:val="24"/>
          <w:lang w:val="en-US"/>
        </w:rPr>
        <w:t>Journal of Ecology</w:t>
      </w:r>
      <w:r w:rsidRPr="0035621E">
        <w:rPr>
          <w:rFonts w:ascii="Times New Roman" w:hAnsi="Times New Roman" w:cs="Times New Roman"/>
          <w:sz w:val="24"/>
          <w:szCs w:val="24"/>
          <w:lang w:val="en-US"/>
        </w:rPr>
        <w:t>, 100(1), 104-115.</w:t>
      </w:r>
    </w:p>
    <w:p w14:paraId="60617EC6"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Crist, T.O., &amp; MacMahon, J.A. (1991). Individual foraging components of harvester ants: movement patterns and seed patch fidelity. </w:t>
      </w:r>
      <w:r w:rsidRPr="0035621E">
        <w:rPr>
          <w:rFonts w:ascii="Times New Roman" w:hAnsi="Times New Roman" w:cs="Times New Roman"/>
          <w:i/>
          <w:iCs/>
          <w:sz w:val="24"/>
          <w:szCs w:val="24"/>
          <w:lang w:val="en-US"/>
        </w:rPr>
        <w:t>Insectes Sociaux</w:t>
      </w:r>
      <w:r w:rsidRPr="0035621E">
        <w:rPr>
          <w:rFonts w:ascii="Times New Roman" w:hAnsi="Times New Roman" w:cs="Times New Roman"/>
          <w:sz w:val="24"/>
          <w:szCs w:val="24"/>
          <w:lang w:val="en-US"/>
        </w:rPr>
        <w:t>, 38(4), 379-396.</w:t>
      </w:r>
    </w:p>
    <w:p w14:paraId="17496ADE"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Drees, T.H., Ochocki, B.M., Collins, S.L., &amp; Miller, T.E.X. (2023). Demography and dispersal at a grass‐shrub ecotone: a spatial integral projection model for woody plant encroachment. </w:t>
      </w:r>
      <w:r w:rsidRPr="0035621E">
        <w:rPr>
          <w:rFonts w:ascii="Times New Roman" w:hAnsi="Times New Roman" w:cs="Times New Roman"/>
          <w:i/>
          <w:iCs/>
          <w:sz w:val="24"/>
          <w:szCs w:val="24"/>
          <w:lang w:val="en-US"/>
        </w:rPr>
        <w:t>Ecological Monographs</w:t>
      </w:r>
      <w:r w:rsidRPr="0035621E">
        <w:rPr>
          <w:rFonts w:ascii="Times New Roman" w:hAnsi="Times New Roman" w:cs="Times New Roman"/>
          <w:sz w:val="24"/>
          <w:szCs w:val="24"/>
          <w:lang w:val="en-US"/>
        </w:rPr>
        <w:t>, 93(3), e1574.</w:t>
      </w:r>
    </w:p>
    <w:p w14:paraId="76958091"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Drees, T.H., &amp; Shea, K. (2024a). Climate warming increases insect‐driven seed removal of two elaiosome‐bearing invasive thistle species.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105(2), e4223.</w:t>
      </w:r>
    </w:p>
    <w:p w14:paraId="6072242C"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Drees, T.H., &amp; Shea, K. (2024b). Elevated temperatures shift flower head height distributions and seed dispersal patterns in two invasive thistle species.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105(1), e4201.</w:t>
      </w:r>
    </w:p>
    <w:p w14:paraId="15E2A299"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Gómez, C., &amp; Espadaler, X. (1998). Seed dispersal curve of a Mediterranean myrmecochore: influence of ant size and the distance to nests. </w:t>
      </w:r>
      <w:r w:rsidRPr="0035621E">
        <w:rPr>
          <w:rFonts w:ascii="Times New Roman" w:hAnsi="Times New Roman" w:cs="Times New Roman"/>
          <w:i/>
          <w:iCs/>
          <w:sz w:val="24"/>
          <w:szCs w:val="24"/>
          <w:lang w:val="en-US"/>
        </w:rPr>
        <w:t>Ecological Research</w:t>
      </w:r>
      <w:r w:rsidRPr="0035621E">
        <w:rPr>
          <w:rFonts w:ascii="Times New Roman" w:hAnsi="Times New Roman" w:cs="Times New Roman"/>
          <w:sz w:val="24"/>
          <w:szCs w:val="24"/>
          <w:lang w:val="en-US"/>
        </w:rPr>
        <w:t>, 13(3), 347-354.</w:t>
      </w:r>
    </w:p>
    <w:p w14:paraId="32848FAA"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Herrera, C.M., &amp; Jordano, P. (1981). </w:t>
      </w:r>
      <w:r w:rsidRPr="0035621E">
        <w:rPr>
          <w:rFonts w:ascii="Times New Roman" w:hAnsi="Times New Roman" w:cs="Times New Roman"/>
          <w:i/>
          <w:iCs/>
          <w:sz w:val="24"/>
          <w:szCs w:val="24"/>
          <w:lang w:val="en-US"/>
        </w:rPr>
        <w:t>Prunus mahaleb</w:t>
      </w:r>
      <w:r w:rsidRPr="0035621E">
        <w:rPr>
          <w:rFonts w:ascii="Times New Roman" w:hAnsi="Times New Roman" w:cs="Times New Roman"/>
          <w:sz w:val="24"/>
          <w:szCs w:val="24"/>
          <w:lang w:val="en-US"/>
        </w:rPr>
        <w:t xml:space="preserve"> and birds: the high‐efficiency seed dispersal system of a temperate fruiting tree. </w:t>
      </w:r>
      <w:r w:rsidRPr="0035621E">
        <w:rPr>
          <w:rFonts w:ascii="Times New Roman" w:hAnsi="Times New Roman" w:cs="Times New Roman"/>
          <w:i/>
          <w:iCs/>
          <w:sz w:val="24"/>
          <w:szCs w:val="24"/>
          <w:lang w:val="en-US"/>
        </w:rPr>
        <w:t>Ecological Monographs</w:t>
      </w:r>
      <w:r w:rsidRPr="0035621E">
        <w:rPr>
          <w:rFonts w:ascii="Times New Roman" w:hAnsi="Times New Roman" w:cs="Times New Roman"/>
          <w:sz w:val="24"/>
          <w:szCs w:val="24"/>
          <w:lang w:val="en-US"/>
        </w:rPr>
        <w:t>, 51(2), 203-218.</w:t>
      </w:r>
    </w:p>
    <w:p w14:paraId="22883C8F"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Higashi, S., Tsuyuzaki, S., Ohara, M., &amp; Ito, F. (1989). Adaptive advantages of ant-dispersed seeds in the myrmecochorous plant </w:t>
      </w:r>
      <w:r w:rsidRPr="0035621E">
        <w:rPr>
          <w:rFonts w:ascii="Times New Roman" w:hAnsi="Times New Roman" w:cs="Times New Roman"/>
          <w:i/>
          <w:iCs/>
          <w:sz w:val="24"/>
          <w:szCs w:val="24"/>
          <w:lang w:val="en-US"/>
        </w:rPr>
        <w:t>Trillium tschonoskii</w:t>
      </w:r>
      <w:r w:rsidRPr="0035621E">
        <w:rPr>
          <w:rFonts w:ascii="Times New Roman" w:hAnsi="Times New Roman" w:cs="Times New Roman"/>
          <w:sz w:val="24"/>
          <w:szCs w:val="24"/>
          <w:lang w:val="en-US"/>
        </w:rPr>
        <w:t xml:space="preserve"> (Liliaceae). </w:t>
      </w:r>
      <w:r w:rsidRPr="0035621E">
        <w:rPr>
          <w:rFonts w:ascii="Times New Roman" w:hAnsi="Times New Roman" w:cs="Times New Roman"/>
          <w:i/>
          <w:iCs/>
          <w:sz w:val="24"/>
          <w:szCs w:val="24"/>
          <w:lang w:val="en-US"/>
        </w:rPr>
        <w:t>Oikos</w:t>
      </w:r>
      <w:r w:rsidRPr="0035621E">
        <w:rPr>
          <w:rFonts w:ascii="Times New Roman" w:hAnsi="Times New Roman" w:cs="Times New Roman"/>
          <w:sz w:val="24"/>
          <w:szCs w:val="24"/>
          <w:lang w:val="en-US"/>
        </w:rPr>
        <w:t>, 54(3), 389-394.</w:t>
      </w:r>
    </w:p>
    <w:p w14:paraId="5F87FE9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lastRenderedPageBreak/>
        <w:t xml:space="preserve">Hogg, B.N., Nelson, E.H., Hagler, J.R., &amp; Daane, K.M. (2018). Foraging distance of the Argentine ant in California vineyards. </w:t>
      </w:r>
      <w:r w:rsidRPr="0035621E">
        <w:rPr>
          <w:rFonts w:ascii="Times New Roman" w:hAnsi="Times New Roman" w:cs="Times New Roman"/>
          <w:i/>
          <w:iCs/>
          <w:sz w:val="24"/>
          <w:szCs w:val="24"/>
          <w:lang w:val="en-US"/>
        </w:rPr>
        <w:t>Journal of Economic Entomology</w:t>
      </w:r>
      <w:r w:rsidRPr="0035621E">
        <w:rPr>
          <w:rFonts w:ascii="Times New Roman" w:hAnsi="Times New Roman" w:cs="Times New Roman"/>
          <w:sz w:val="24"/>
          <w:szCs w:val="24"/>
          <w:lang w:val="en-US"/>
        </w:rPr>
        <w:t>, 111(2), 672-679.</w:t>
      </w:r>
    </w:p>
    <w:p w14:paraId="7F3E82A6"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Hughes, L., &amp; Westoby, M. (1992). Effect of diaspore characteristics on removal of seeds adapted for dispersal by ants.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73(4), 1300-1312.</w:t>
      </w:r>
    </w:p>
    <w:p w14:paraId="1C27296C"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bookmarkStart w:id="17" w:name="_Hlk157714922"/>
      <w:r w:rsidRPr="0035621E">
        <w:rPr>
          <w:rFonts w:ascii="Times New Roman" w:hAnsi="Times New Roman" w:cs="Times New Roman"/>
          <w:sz w:val="24"/>
          <w:szCs w:val="24"/>
          <w:lang w:val="en-US"/>
        </w:rPr>
        <w:t xml:space="preserve">Jongejans, E., Shea, K., Skarpaas, O., Kelly, D., &amp; Ellner, S.P. (2011). Importance of individual and environmental variation for invasive species spread: a spatial integral projection model.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92(1), 86-97.</w:t>
      </w:r>
    </w:p>
    <w:bookmarkEnd w:id="17"/>
    <w:p w14:paraId="256CC550"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Jongejans, E., Silverman, E.J., Skarpaas, O., &amp; Shea, K. (2015). Post-dispersal seed removal of </w:t>
      </w:r>
      <w:r w:rsidRPr="0035621E">
        <w:rPr>
          <w:rFonts w:ascii="Times New Roman" w:hAnsi="Times New Roman" w:cs="Times New Roman"/>
          <w:i/>
          <w:iCs/>
          <w:sz w:val="24"/>
          <w:szCs w:val="24"/>
          <w:lang w:val="en-US"/>
        </w:rPr>
        <w:t>Carduus nutans</w:t>
      </w:r>
      <w:r w:rsidRPr="0035621E">
        <w:rPr>
          <w:rFonts w:ascii="Times New Roman" w:hAnsi="Times New Roman" w:cs="Times New Roman"/>
          <w:sz w:val="24"/>
          <w:szCs w:val="24"/>
          <w:lang w:val="en-US"/>
        </w:rPr>
        <w:t xml:space="preserve"> and </w:t>
      </w:r>
      <w:r w:rsidRPr="0035621E">
        <w:rPr>
          <w:rFonts w:ascii="Times New Roman" w:hAnsi="Times New Roman" w:cs="Times New Roman"/>
          <w:i/>
          <w:iCs/>
          <w:sz w:val="24"/>
          <w:szCs w:val="24"/>
          <w:lang w:val="en-US"/>
        </w:rPr>
        <w:t>C. acanthoides</w:t>
      </w:r>
      <w:r w:rsidRPr="0035621E">
        <w:rPr>
          <w:rFonts w:ascii="Times New Roman" w:hAnsi="Times New Roman" w:cs="Times New Roman"/>
          <w:sz w:val="24"/>
          <w:szCs w:val="24"/>
          <w:lang w:val="en-US"/>
        </w:rPr>
        <w:t xml:space="preserve"> by insects and small mammals. </w:t>
      </w:r>
      <w:r w:rsidRPr="0035621E">
        <w:rPr>
          <w:rFonts w:ascii="Times New Roman" w:hAnsi="Times New Roman" w:cs="Times New Roman"/>
          <w:i/>
          <w:iCs/>
          <w:sz w:val="24"/>
          <w:szCs w:val="24"/>
          <w:lang w:val="en-US"/>
        </w:rPr>
        <w:t>Ecological Research</w:t>
      </w:r>
      <w:r w:rsidRPr="0035621E">
        <w:rPr>
          <w:rFonts w:ascii="Times New Roman" w:hAnsi="Times New Roman" w:cs="Times New Roman"/>
          <w:sz w:val="24"/>
          <w:szCs w:val="24"/>
          <w:lang w:val="en-US"/>
        </w:rPr>
        <w:t>, 30(1), 173-180.</w:t>
      </w:r>
    </w:p>
    <w:p w14:paraId="58DA66ED"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Kalisz, S., Hanzawa, F.M., Tonsor, S.J., Thiede, D.A., &amp; Voigt, S. (1999). Ant‐mediated seed dispersal alters pattern of relatedness in a population of </w:t>
      </w:r>
      <w:r w:rsidRPr="0035621E">
        <w:rPr>
          <w:rFonts w:ascii="Times New Roman" w:hAnsi="Times New Roman" w:cs="Times New Roman"/>
          <w:i/>
          <w:iCs/>
          <w:sz w:val="24"/>
          <w:szCs w:val="24"/>
          <w:lang w:val="en-US"/>
        </w:rPr>
        <w:t>Trillium grandiflorum</w:t>
      </w:r>
      <w:r w:rsidRPr="0035621E">
        <w:rPr>
          <w:rFonts w:ascii="Times New Roman" w:hAnsi="Times New Roman" w:cs="Times New Roman"/>
          <w:sz w:val="24"/>
          <w:szCs w:val="24"/>
          <w:lang w:val="en-US"/>
        </w:rPr>
        <w:t xml:space="preserve">.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80(8), 2620-2634.</w:t>
      </w:r>
    </w:p>
    <w:p w14:paraId="4DAB7C4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Katul, G.G., Porporato, A., Nathan, R., Siqueira, M., Soons, M.B., Poggi, D., Horn, H.S., &amp; Levin, S.A. (2005). Mechanistic analytical models for long-distance seed dispersal by wind. </w:t>
      </w:r>
      <w:r w:rsidRPr="0035621E">
        <w:rPr>
          <w:rFonts w:ascii="Times New Roman" w:hAnsi="Times New Roman" w:cs="Times New Roman"/>
          <w:i/>
          <w:iCs/>
          <w:sz w:val="24"/>
          <w:szCs w:val="24"/>
          <w:lang w:val="en-US"/>
        </w:rPr>
        <w:t>The American Naturalist</w:t>
      </w:r>
      <w:r w:rsidRPr="0035621E">
        <w:rPr>
          <w:rFonts w:ascii="Times New Roman" w:hAnsi="Times New Roman" w:cs="Times New Roman"/>
          <w:sz w:val="24"/>
          <w:szCs w:val="24"/>
          <w:lang w:val="en-US"/>
        </w:rPr>
        <w:t>, 166(3), 368-381.</w:t>
      </w:r>
    </w:p>
    <w:p w14:paraId="46CB4BAB"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Keller, J.A., &amp; Shea, K. (2021). Warming and shifting phenology accelerate an invasive plant life cycle.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102(1), e03219.</w:t>
      </w:r>
    </w:p>
    <w:p w14:paraId="0022A87B"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Keller, J.A., &amp; Shea, K. (2022). Pest management in future climates: warming reduces physical weed management effectiveness. </w:t>
      </w:r>
      <w:r w:rsidRPr="0035621E">
        <w:rPr>
          <w:rFonts w:ascii="Times New Roman" w:hAnsi="Times New Roman" w:cs="Times New Roman"/>
          <w:i/>
          <w:iCs/>
          <w:sz w:val="24"/>
          <w:szCs w:val="24"/>
          <w:lang w:val="en-US"/>
        </w:rPr>
        <w:t>Ecological Applications</w:t>
      </w:r>
      <w:r w:rsidRPr="0035621E">
        <w:rPr>
          <w:rFonts w:ascii="Times New Roman" w:hAnsi="Times New Roman" w:cs="Times New Roman"/>
          <w:sz w:val="24"/>
          <w:szCs w:val="24"/>
          <w:lang w:val="en-US"/>
        </w:rPr>
        <w:t>, 32(6), e2633.</w:t>
      </w:r>
    </w:p>
    <w:p w14:paraId="4CA6237E"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Kempter, I., Nopp-Mayr, U., Hausleithner, C., &amp; Gratzer, G. (2018). Tricky to track: comparing different tagging methods for tracing beechnut dispersal by small mammals. </w:t>
      </w:r>
      <w:r w:rsidRPr="0035621E">
        <w:rPr>
          <w:rFonts w:ascii="Times New Roman" w:hAnsi="Times New Roman" w:cs="Times New Roman"/>
          <w:i/>
          <w:iCs/>
          <w:sz w:val="24"/>
          <w:szCs w:val="24"/>
          <w:lang w:val="en-US"/>
        </w:rPr>
        <w:t>Ecological Research</w:t>
      </w:r>
      <w:r w:rsidRPr="0035621E">
        <w:rPr>
          <w:rFonts w:ascii="Times New Roman" w:hAnsi="Times New Roman" w:cs="Times New Roman"/>
          <w:sz w:val="24"/>
          <w:szCs w:val="24"/>
          <w:lang w:val="en-US"/>
        </w:rPr>
        <w:t>, 33(6), 1219-1231.</w:t>
      </w:r>
    </w:p>
    <w:p w14:paraId="1CAC641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lastRenderedPageBreak/>
        <w:t xml:space="preserve">Kling, M.M., &amp; Ackerly, D.D. (2020). Global wind patterns and the vulnerability of wind-dispersed species to climate change. </w:t>
      </w:r>
      <w:r w:rsidRPr="0035621E">
        <w:rPr>
          <w:rFonts w:ascii="Times New Roman" w:hAnsi="Times New Roman" w:cs="Times New Roman"/>
          <w:i/>
          <w:iCs/>
          <w:sz w:val="24"/>
          <w:szCs w:val="24"/>
          <w:lang w:val="en-US"/>
        </w:rPr>
        <w:t>Nature Climate Change</w:t>
      </w:r>
      <w:r w:rsidRPr="0035621E">
        <w:rPr>
          <w:rFonts w:ascii="Times New Roman" w:hAnsi="Times New Roman" w:cs="Times New Roman"/>
          <w:sz w:val="24"/>
          <w:szCs w:val="24"/>
          <w:lang w:val="en-US"/>
        </w:rPr>
        <w:t>, 10(9), 868-875.</w:t>
      </w:r>
    </w:p>
    <w:p w14:paraId="1C882A2F"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Kot, M., Lewis, M.A., &amp; Van den Driessche, P. (1996). Dispersal data and the spread of invading organisms.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77(7), 2027-2042.</w:t>
      </w:r>
    </w:p>
    <w:p w14:paraId="2EC71B87"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Kuparinen, A., Katul, G., Nathan, R., &amp; Schurr, F.M. (2009). Increases in air temperature can promote wind-driven dispersal and spread of plants. </w:t>
      </w:r>
      <w:r w:rsidRPr="0035621E">
        <w:rPr>
          <w:rFonts w:ascii="Times New Roman" w:hAnsi="Times New Roman" w:cs="Times New Roman"/>
          <w:i/>
          <w:iCs/>
          <w:sz w:val="24"/>
          <w:szCs w:val="24"/>
          <w:lang w:val="en-US"/>
        </w:rPr>
        <w:t>Proceedings of the Royal Society B: Biological Sciences</w:t>
      </w:r>
      <w:r w:rsidRPr="0035621E">
        <w:rPr>
          <w:rFonts w:ascii="Times New Roman" w:hAnsi="Times New Roman" w:cs="Times New Roman"/>
          <w:sz w:val="24"/>
          <w:szCs w:val="24"/>
          <w:lang w:val="en-US"/>
        </w:rPr>
        <w:t>, 276(1670), 3081-3087.</w:t>
      </w:r>
    </w:p>
    <w:p w14:paraId="2777C457"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Marchetto, K.M., Shea, K., Kelly, D., Groenteman, R., Sezen, Z., &amp; Jongejans, E. (2014). Unrecognized impact of a biocontrol agent on the spread rate of an invasive thistle. </w:t>
      </w:r>
      <w:r w:rsidRPr="0035621E">
        <w:rPr>
          <w:rFonts w:ascii="Times New Roman" w:hAnsi="Times New Roman" w:cs="Times New Roman"/>
          <w:i/>
          <w:iCs/>
          <w:sz w:val="24"/>
          <w:szCs w:val="24"/>
          <w:lang w:val="en-US"/>
        </w:rPr>
        <w:t>Ecological Applications</w:t>
      </w:r>
      <w:r w:rsidRPr="0035621E">
        <w:rPr>
          <w:rFonts w:ascii="Times New Roman" w:hAnsi="Times New Roman" w:cs="Times New Roman"/>
          <w:sz w:val="24"/>
          <w:szCs w:val="24"/>
          <w:lang w:val="en-US"/>
        </w:rPr>
        <w:t>, 24(5), 1178-1187.</w:t>
      </w:r>
    </w:p>
    <w:p w14:paraId="38B3FD38"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Milner-Gulland, E.J., &amp; Shea, K. (2017). Embracing uncertainty in applied ecology. </w:t>
      </w:r>
      <w:r w:rsidRPr="0035621E">
        <w:rPr>
          <w:rFonts w:ascii="Times New Roman" w:hAnsi="Times New Roman" w:cs="Times New Roman"/>
          <w:i/>
          <w:iCs/>
          <w:sz w:val="24"/>
          <w:szCs w:val="24"/>
          <w:lang w:val="en-US"/>
        </w:rPr>
        <w:t>Journal of Applied Ecology</w:t>
      </w:r>
      <w:r w:rsidRPr="0035621E">
        <w:rPr>
          <w:rFonts w:ascii="Times New Roman" w:hAnsi="Times New Roman" w:cs="Times New Roman"/>
          <w:sz w:val="24"/>
          <w:szCs w:val="24"/>
          <w:lang w:val="en-US"/>
        </w:rPr>
        <w:t>, 54(6), 2063.</w:t>
      </w:r>
    </w:p>
    <w:p w14:paraId="6C062F59"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Mokany, K., Prasad, S., &amp; Westcott, D.A. (2014). Loss of frugivore seed dispersal services under climate change. </w:t>
      </w:r>
      <w:r w:rsidRPr="0035621E">
        <w:rPr>
          <w:rFonts w:ascii="Times New Roman" w:hAnsi="Times New Roman" w:cs="Times New Roman"/>
          <w:i/>
          <w:iCs/>
          <w:sz w:val="24"/>
          <w:szCs w:val="24"/>
          <w:lang w:val="en-US"/>
        </w:rPr>
        <w:t>Nature Communications</w:t>
      </w:r>
      <w:r w:rsidRPr="0035621E">
        <w:rPr>
          <w:rFonts w:ascii="Times New Roman" w:hAnsi="Times New Roman" w:cs="Times New Roman"/>
          <w:sz w:val="24"/>
          <w:szCs w:val="24"/>
          <w:lang w:val="en-US"/>
        </w:rPr>
        <w:t>, 5(1), 1-7.</w:t>
      </w:r>
    </w:p>
    <w:p w14:paraId="445359A6"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Mokany, K., Prasad, S., &amp; Westcott, D.A. (2015). Impacts of climate change and management responses in tropical forests depend on complex frugivore‐mediated seed dispersal. </w:t>
      </w:r>
      <w:r w:rsidRPr="0035621E">
        <w:rPr>
          <w:rFonts w:ascii="Times New Roman" w:hAnsi="Times New Roman" w:cs="Times New Roman"/>
          <w:i/>
          <w:iCs/>
          <w:sz w:val="24"/>
          <w:szCs w:val="24"/>
          <w:lang w:val="en-US"/>
        </w:rPr>
        <w:t>Global Ecology and Biogeography</w:t>
      </w:r>
      <w:r w:rsidRPr="0035621E">
        <w:rPr>
          <w:rFonts w:ascii="Times New Roman" w:hAnsi="Times New Roman" w:cs="Times New Roman"/>
          <w:sz w:val="24"/>
          <w:szCs w:val="24"/>
          <w:lang w:val="en-US"/>
        </w:rPr>
        <w:t>, 24(6), 685-694.</w:t>
      </w:r>
    </w:p>
    <w:p w14:paraId="4CA319EF"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Nathan, R. (2006). Long-distance dispersal of plants. </w:t>
      </w:r>
      <w:r w:rsidRPr="0035621E">
        <w:rPr>
          <w:rFonts w:ascii="Times New Roman" w:hAnsi="Times New Roman" w:cs="Times New Roman"/>
          <w:i/>
          <w:iCs/>
          <w:sz w:val="24"/>
          <w:szCs w:val="24"/>
          <w:lang w:val="en-US"/>
        </w:rPr>
        <w:t>Science</w:t>
      </w:r>
      <w:r w:rsidRPr="0035621E">
        <w:rPr>
          <w:rFonts w:ascii="Times New Roman" w:hAnsi="Times New Roman" w:cs="Times New Roman"/>
          <w:sz w:val="24"/>
          <w:szCs w:val="24"/>
          <w:lang w:val="en-US"/>
        </w:rPr>
        <w:t>, 313(5788), 786-788.</w:t>
      </w:r>
    </w:p>
    <w:p w14:paraId="2826BD7E"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Nathan, R. (2007). Total dispersal kernels and the evaluation of diversity and similarity in complex dispersal systems. In </w:t>
      </w:r>
      <w:r w:rsidRPr="0035621E">
        <w:rPr>
          <w:rFonts w:ascii="Times New Roman" w:hAnsi="Times New Roman" w:cs="Times New Roman"/>
          <w:i/>
          <w:iCs/>
          <w:sz w:val="24"/>
          <w:szCs w:val="24"/>
          <w:lang w:val="en-US"/>
        </w:rPr>
        <w:t xml:space="preserve">Seed Dispersal: Theory and Its Application in a Changing World </w:t>
      </w:r>
      <w:r w:rsidRPr="0035621E">
        <w:rPr>
          <w:rFonts w:ascii="Times New Roman" w:hAnsi="Times New Roman" w:cs="Times New Roman"/>
          <w:sz w:val="24"/>
          <w:szCs w:val="24"/>
          <w:lang w:val="en-US"/>
        </w:rPr>
        <w:t>(eds. Dennis, A.J., Schupp, E.W., Green, R.J., &amp; Westcott, D.A.), 252-276. CAB International, Wallingford, United Kingdom.</w:t>
      </w:r>
    </w:p>
    <w:p w14:paraId="7140522D"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lastRenderedPageBreak/>
        <w:t xml:space="preserve">Nathan, R., Perry, G., Cronin, J.T., Strand, A.E., &amp; Cain, M.L. (2003). Methods for estimating long‐distance dispersal. </w:t>
      </w:r>
      <w:r w:rsidRPr="0035621E">
        <w:rPr>
          <w:rFonts w:ascii="Times New Roman" w:hAnsi="Times New Roman" w:cs="Times New Roman"/>
          <w:i/>
          <w:iCs/>
          <w:sz w:val="24"/>
          <w:szCs w:val="24"/>
          <w:lang w:val="en-US"/>
        </w:rPr>
        <w:t>Oikos</w:t>
      </w:r>
      <w:r w:rsidRPr="0035621E">
        <w:rPr>
          <w:rFonts w:ascii="Times New Roman" w:hAnsi="Times New Roman" w:cs="Times New Roman"/>
          <w:sz w:val="24"/>
          <w:szCs w:val="24"/>
          <w:lang w:val="en-US"/>
        </w:rPr>
        <w:t>, 103(2), 261-273.</w:t>
      </w:r>
    </w:p>
    <w:p w14:paraId="4B9D8C8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Neubert, M.G., &amp; Caswell, H. (2000). Demography and dispersal: calculation and sensitivity analysis of invasion speed for structured populations.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81(6), 1613-1628.</w:t>
      </w:r>
    </w:p>
    <w:p w14:paraId="7624B40A"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Ohkawara, K., &amp; Higashi, S. (1994). Relative importance of ballistic and ant dispersal in two diplochorous </w:t>
      </w:r>
      <w:r w:rsidRPr="0035621E">
        <w:rPr>
          <w:rFonts w:ascii="Times New Roman" w:hAnsi="Times New Roman" w:cs="Times New Roman"/>
          <w:i/>
          <w:iCs/>
          <w:sz w:val="24"/>
          <w:szCs w:val="24"/>
          <w:lang w:val="en-US"/>
        </w:rPr>
        <w:t>Viola</w:t>
      </w:r>
      <w:r w:rsidRPr="0035621E">
        <w:rPr>
          <w:rFonts w:ascii="Times New Roman" w:hAnsi="Times New Roman" w:cs="Times New Roman"/>
          <w:sz w:val="24"/>
          <w:szCs w:val="24"/>
          <w:lang w:val="en-US"/>
        </w:rPr>
        <w:t xml:space="preserve"> species (Violaceae). </w:t>
      </w:r>
      <w:r w:rsidRPr="0035621E">
        <w:rPr>
          <w:rFonts w:ascii="Times New Roman" w:hAnsi="Times New Roman" w:cs="Times New Roman"/>
          <w:i/>
          <w:iCs/>
          <w:sz w:val="24"/>
          <w:szCs w:val="24"/>
          <w:lang w:val="en-US"/>
        </w:rPr>
        <w:t>Oecologia</w:t>
      </w:r>
      <w:r w:rsidRPr="0035621E">
        <w:rPr>
          <w:rFonts w:ascii="Times New Roman" w:hAnsi="Times New Roman" w:cs="Times New Roman"/>
          <w:sz w:val="24"/>
          <w:szCs w:val="24"/>
          <w:lang w:val="en-US"/>
        </w:rPr>
        <w:t>, 100(1), 135-140.</w:t>
      </w:r>
    </w:p>
    <w:p w14:paraId="791BC8C8"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Pemberton, R.W., &amp; Irving, D.W. (1990). Elaiosomes on weed seeds and the potential for myrmecochory in naturalized plants. </w:t>
      </w:r>
      <w:r w:rsidRPr="0035621E">
        <w:rPr>
          <w:rFonts w:ascii="Times New Roman" w:hAnsi="Times New Roman" w:cs="Times New Roman"/>
          <w:i/>
          <w:iCs/>
          <w:sz w:val="24"/>
          <w:szCs w:val="24"/>
          <w:lang w:val="en-US"/>
        </w:rPr>
        <w:t>Weed Science</w:t>
      </w:r>
      <w:r w:rsidRPr="0035621E">
        <w:rPr>
          <w:rFonts w:ascii="Times New Roman" w:hAnsi="Times New Roman" w:cs="Times New Roman"/>
          <w:sz w:val="24"/>
          <w:szCs w:val="24"/>
          <w:lang w:val="en-US"/>
        </w:rPr>
        <w:t>, 38(6), 615-619.</w:t>
      </w:r>
    </w:p>
    <w:p w14:paraId="39F2A940"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R Development Core Team. (2022). R, version 4.2.2. R Foundation for Statistical Computing, Vienna, Austria. https://www.r-project.org/.</w:t>
      </w:r>
    </w:p>
    <w:p w14:paraId="2D53DB30"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s-ES"/>
        </w:rPr>
        <w:t xml:space="preserve">Rabelo, M.A., Angotti, M.A., Da Silva, G.S., Da Cruz Reis, A., &amp; Ribas, C.R. (2021). </w:t>
      </w:r>
      <w:r w:rsidRPr="0035621E">
        <w:rPr>
          <w:rFonts w:ascii="Times New Roman" w:hAnsi="Times New Roman" w:cs="Times New Roman"/>
          <w:sz w:val="24"/>
          <w:szCs w:val="24"/>
          <w:lang w:val="en-US"/>
        </w:rPr>
        <w:t xml:space="preserve">Removal of diaspores by ants: What factors to evaluate? </w:t>
      </w:r>
      <w:r w:rsidRPr="0035621E">
        <w:rPr>
          <w:rFonts w:ascii="Times New Roman" w:hAnsi="Times New Roman" w:cs="Times New Roman"/>
          <w:i/>
          <w:iCs/>
          <w:sz w:val="24"/>
          <w:szCs w:val="24"/>
          <w:lang w:val="en-US"/>
        </w:rPr>
        <w:t>Acta Oecologica</w:t>
      </w:r>
      <w:r w:rsidRPr="0035621E">
        <w:rPr>
          <w:rFonts w:ascii="Times New Roman" w:hAnsi="Times New Roman" w:cs="Times New Roman"/>
          <w:sz w:val="24"/>
          <w:szCs w:val="24"/>
          <w:lang w:val="en-US"/>
        </w:rPr>
        <w:t>, 111(1), a103736.</w:t>
      </w:r>
    </w:p>
    <w:p w14:paraId="050C793D"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Rogers, H.S., Beckman, N.G., Hartig, F., Johnson, J.S., Pufal, G., Shea, K., Zurell, D., Bullock, J.M., Cantrell, R.S., Loiselle, B., Pejchar, L., Razafindratsima, O.H., Sandor, M.E., Schupp, E.W., Strickland, W.C., &amp; Zambrano, J. (2019). The total dispersal kernel: a review and future directions. </w:t>
      </w:r>
      <w:r w:rsidRPr="0035621E">
        <w:rPr>
          <w:rFonts w:ascii="Times New Roman" w:hAnsi="Times New Roman" w:cs="Times New Roman"/>
          <w:i/>
          <w:iCs/>
          <w:sz w:val="24"/>
          <w:szCs w:val="24"/>
          <w:lang w:val="en-US"/>
        </w:rPr>
        <w:t>AoB Plants</w:t>
      </w:r>
      <w:r w:rsidRPr="0035621E">
        <w:rPr>
          <w:rFonts w:ascii="Times New Roman" w:hAnsi="Times New Roman" w:cs="Times New Roman"/>
          <w:sz w:val="24"/>
          <w:szCs w:val="24"/>
          <w:lang w:val="en-US"/>
        </w:rPr>
        <w:t>, 11(5), plz042.</w:t>
      </w:r>
    </w:p>
    <w:p w14:paraId="4A93C07F"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Sales, L.P., Kissling, W.D., Galetti, M., Naimi, B., &amp; Pires, M.M. (2021). Climate change reshapes the eco‐evolutionary dynamics of a Neotropical seed dispersal system. </w:t>
      </w:r>
      <w:r w:rsidRPr="0035621E">
        <w:rPr>
          <w:rFonts w:ascii="Times New Roman" w:hAnsi="Times New Roman" w:cs="Times New Roman"/>
          <w:i/>
          <w:iCs/>
          <w:sz w:val="24"/>
          <w:szCs w:val="24"/>
          <w:lang w:val="en-US"/>
        </w:rPr>
        <w:t>Global Ecology and Biogeography</w:t>
      </w:r>
      <w:r w:rsidRPr="0035621E">
        <w:rPr>
          <w:rFonts w:ascii="Times New Roman" w:hAnsi="Times New Roman" w:cs="Times New Roman"/>
          <w:sz w:val="24"/>
          <w:szCs w:val="24"/>
          <w:lang w:val="en-US"/>
        </w:rPr>
        <w:t>, 30(5), 1129-1138.</w:t>
      </w:r>
    </w:p>
    <w:p w14:paraId="214CAFD7"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Schurr, F.M., Bond, W.J., Midgley, G.F., &amp; Higgins, S.I. (2005). A mechanistic model for secondary seed dispersal by wind and its experimental validation. </w:t>
      </w:r>
      <w:r w:rsidRPr="0035621E">
        <w:rPr>
          <w:rFonts w:ascii="Times New Roman" w:hAnsi="Times New Roman" w:cs="Times New Roman"/>
          <w:i/>
          <w:iCs/>
          <w:sz w:val="24"/>
          <w:szCs w:val="24"/>
          <w:lang w:val="en-US"/>
        </w:rPr>
        <w:t>Journal of Ecology</w:t>
      </w:r>
      <w:r w:rsidRPr="0035621E">
        <w:rPr>
          <w:rFonts w:ascii="Times New Roman" w:hAnsi="Times New Roman" w:cs="Times New Roman"/>
          <w:sz w:val="24"/>
          <w:szCs w:val="24"/>
          <w:lang w:val="en-US"/>
        </w:rPr>
        <w:t>, 93(5), 1017-1028.</w:t>
      </w:r>
    </w:p>
    <w:p w14:paraId="16028D92"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Shea, K. (2007). How the wood moves. </w:t>
      </w:r>
      <w:r w:rsidRPr="0035621E">
        <w:rPr>
          <w:rFonts w:ascii="Times New Roman" w:hAnsi="Times New Roman" w:cs="Times New Roman"/>
          <w:i/>
          <w:iCs/>
          <w:sz w:val="24"/>
          <w:szCs w:val="24"/>
          <w:lang w:val="en-US"/>
        </w:rPr>
        <w:t>Science</w:t>
      </w:r>
      <w:r w:rsidRPr="0035621E">
        <w:rPr>
          <w:rFonts w:ascii="Times New Roman" w:hAnsi="Times New Roman" w:cs="Times New Roman"/>
          <w:sz w:val="24"/>
          <w:szCs w:val="24"/>
          <w:lang w:val="en-US"/>
        </w:rPr>
        <w:t>, 315(5816), 1231-1232.</w:t>
      </w:r>
    </w:p>
    <w:p w14:paraId="7AFDD1EF"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bookmarkStart w:id="18" w:name="_Hlk157714865"/>
      <w:r w:rsidRPr="0035621E">
        <w:rPr>
          <w:rFonts w:ascii="Times New Roman" w:hAnsi="Times New Roman" w:cs="Times New Roman"/>
          <w:sz w:val="24"/>
          <w:szCs w:val="24"/>
          <w:lang w:val="en-US"/>
        </w:rPr>
        <w:lastRenderedPageBreak/>
        <w:t xml:space="preserve">Skarpaas, O., &amp; Shea, K. (2007). Dispersal patterns, dispersal mechanisms, and invasion wave speeds for invasive thistles. </w:t>
      </w:r>
      <w:r w:rsidRPr="0035621E">
        <w:rPr>
          <w:rFonts w:ascii="Times New Roman" w:hAnsi="Times New Roman" w:cs="Times New Roman"/>
          <w:i/>
          <w:iCs/>
          <w:sz w:val="24"/>
          <w:szCs w:val="24"/>
          <w:lang w:val="en-US"/>
        </w:rPr>
        <w:t>The American Naturalist</w:t>
      </w:r>
      <w:r w:rsidRPr="0035621E">
        <w:rPr>
          <w:rFonts w:ascii="Times New Roman" w:hAnsi="Times New Roman" w:cs="Times New Roman"/>
          <w:sz w:val="24"/>
          <w:szCs w:val="24"/>
          <w:lang w:val="en-US"/>
        </w:rPr>
        <w:t>, 170(3), 421-430.</w:t>
      </w:r>
    </w:p>
    <w:bookmarkEnd w:id="18"/>
    <w:p w14:paraId="766BAAFE"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Skarpaas, O., Silverman, E.J., Jongejans, E., &amp; Shea, K. (2011). Are the best dispersers the best colonizers? Seed mass, dispersal and establishment in </w:t>
      </w:r>
      <w:r w:rsidRPr="0035621E">
        <w:rPr>
          <w:rFonts w:ascii="Times New Roman" w:hAnsi="Times New Roman" w:cs="Times New Roman"/>
          <w:i/>
          <w:iCs/>
          <w:sz w:val="24"/>
          <w:szCs w:val="24"/>
          <w:lang w:val="en-US"/>
        </w:rPr>
        <w:t>Carduus</w:t>
      </w:r>
      <w:r w:rsidRPr="0035621E">
        <w:rPr>
          <w:rFonts w:ascii="Times New Roman" w:hAnsi="Times New Roman" w:cs="Times New Roman"/>
          <w:sz w:val="24"/>
          <w:szCs w:val="24"/>
          <w:lang w:val="en-US"/>
        </w:rPr>
        <w:t xml:space="preserve"> thistles. </w:t>
      </w:r>
      <w:r w:rsidRPr="0035621E">
        <w:rPr>
          <w:rFonts w:ascii="Times New Roman" w:hAnsi="Times New Roman" w:cs="Times New Roman"/>
          <w:i/>
          <w:iCs/>
          <w:sz w:val="24"/>
          <w:szCs w:val="24"/>
          <w:lang w:val="en-US"/>
        </w:rPr>
        <w:t>Evolutionary Ecology</w:t>
      </w:r>
      <w:r w:rsidRPr="0035621E">
        <w:rPr>
          <w:rFonts w:ascii="Times New Roman" w:hAnsi="Times New Roman" w:cs="Times New Roman"/>
          <w:sz w:val="24"/>
          <w:szCs w:val="24"/>
          <w:lang w:val="en-US"/>
        </w:rPr>
        <w:t>, 25(1), 155-169.</w:t>
      </w:r>
    </w:p>
    <w:p w14:paraId="1B8BC524"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bookmarkStart w:id="19" w:name="_Hlk183855590"/>
      <w:r w:rsidRPr="0035621E">
        <w:rPr>
          <w:rFonts w:ascii="Times New Roman" w:hAnsi="Times New Roman" w:cs="Times New Roman"/>
          <w:sz w:val="24"/>
          <w:szCs w:val="24"/>
          <w:lang w:val="en-US"/>
        </w:rPr>
        <w:t xml:space="preserve">Skinner, K., Smith, L., &amp; Rice, P. (2000). Using noxious weed lists to prioritize targets for developing weed management strategies. </w:t>
      </w:r>
      <w:r w:rsidRPr="0035621E">
        <w:rPr>
          <w:rFonts w:ascii="Times New Roman" w:hAnsi="Times New Roman" w:cs="Times New Roman"/>
          <w:i/>
          <w:iCs/>
          <w:sz w:val="24"/>
          <w:szCs w:val="24"/>
          <w:lang w:val="en-US"/>
        </w:rPr>
        <w:t>Weed Science</w:t>
      </w:r>
      <w:r w:rsidRPr="0035621E">
        <w:rPr>
          <w:rFonts w:ascii="Times New Roman" w:hAnsi="Times New Roman" w:cs="Times New Roman"/>
          <w:sz w:val="24"/>
          <w:szCs w:val="24"/>
          <w:lang w:val="en-US"/>
        </w:rPr>
        <w:t>, 48(5), 640-644.</w:t>
      </w:r>
    </w:p>
    <w:bookmarkEnd w:id="19"/>
    <w:p w14:paraId="5C16BB16"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Soons, M.B., Nathan, R., &amp; Katul, G.G. (2004). Human effects on long‐distance wind dispersal and colonization by grassland plants.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85(11), 3069-3079.</w:t>
      </w:r>
    </w:p>
    <w:p w14:paraId="6F141FFE"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Sullivan, L.L., &amp; Shaw, A.K. (2023). Take me for a ride: herbivores can facilitate plant reinvasions.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104(10), e4132.</w:t>
      </w:r>
    </w:p>
    <w:p w14:paraId="721C4DC7"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Teller, B.J., Zhang, R., &amp; Shea, K. (2016). Seed release in a changing climate: initiation of movement increases spread of an invasive species under simulated climate warming. </w:t>
      </w:r>
      <w:r w:rsidRPr="0035621E">
        <w:rPr>
          <w:rFonts w:ascii="Times New Roman" w:hAnsi="Times New Roman" w:cs="Times New Roman"/>
          <w:i/>
          <w:iCs/>
          <w:sz w:val="24"/>
          <w:szCs w:val="24"/>
          <w:lang w:val="en-US"/>
        </w:rPr>
        <w:t>Diversity and Distributions</w:t>
      </w:r>
      <w:r w:rsidRPr="0035621E">
        <w:rPr>
          <w:rFonts w:ascii="Times New Roman" w:hAnsi="Times New Roman" w:cs="Times New Roman"/>
          <w:sz w:val="24"/>
          <w:szCs w:val="24"/>
          <w:lang w:val="en-US"/>
        </w:rPr>
        <w:t>, 22(6), 708-716.</w:t>
      </w:r>
    </w:p>
    <w:p w14:paraId="42E0CAE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Vander Wall, S.B., Kuhn, K.M., &amp; Beck, M.J. (2005). Seed removal, seed predation, and secondary dispersal.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86(3), 801-806.</w:t>
      </w:r>
    </w:p>
    <w:p w14:paraId="44D499EB"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Zhang, R., Jongejans, E., &amp; Shea, K. (2011). Warming increases the spread of an invasive thistle. </w:t>
      </w:r>
      <w:r w:rsidRPr="0035621E">
        <w:rPr>
          <w:rFonts w:ascii="Times New Roman" w:hAnsi="Times New Roman" w:cs="Times New Roman"/>
          <w:i/>
          <w:iCs/>
          <w:sz w:val="24"/>
          <w:szCs w:val="24"/>
          <w:lang w:val="en-US"/>
        </w:rPr>
        <w:t>PLoS</w:t>
      </w:r>
      <w:r w:rsidRPr="0035621E">
        <w:rPr>
          <w:rFonts w:ascii="Times New Roman" w:hAnsi="Times New Roman" w:cs="Times New Roman"/>
          <w:sz w:val="24"/>
          <w:szCs w:val="24"/>
          <w:lang w:val="en-US"/>
        </w:rPr>
        <w:t xml:space="preserve"> </w:t>
      </w:r>
      <w:r w:rsidRPr="0035621E">
        <w:rPr>
          <w:rFonts w:ascii="Times New Roman" w:hAnsi="Times New Roman" w:cs="Times New Roman"/>
          <w:i/>
          <w:iCs/>
          <w:sz w:val="24"/>
          <w:szCs w:val="24"/>
          <w:lang w:val="en-US"/>
        </w:rPr>
        <w:t>One</w:t>
      </w:r>
      <w:r w:rsidRPr="0035621E">
        <w:rPr>
          <w:rFonts w:ascii="Times New Roman" w:hAnsi="Times New Roman" w:cs="Times New Roman"/>
          <w:sz w:val="24"/>
          <w:szCs w:val="24"/>
          <w:lang w:val="en-US"/>
        </w:rPr>
        <w:t>, 6(6), e21725.</w:t>
      </w:r>
    </w:p>
    <w:p w14:paraId="68CB2F56" w14:textId="2B21A756" w:rsidR="00297B71" w:rsidRDefault="0035621E" w:rsidP="0035621E">
      <w:pPr>
        <w:spacing w:after="0" w:line="480" w:lineRule="auto"/>
        <w:ind w:left="284" w:hanging="284"/>
        <w:rPr>
          <w:rFonts w:ascii="Times New Roman" w:hAnsi="Times New Roman" w:cs="Times New Roman"/>
          <w:sz w:val="24"/>
          <w:szCs w:val="24"/>
        </w:rPr>
      </w:pPr>
      <w:r w:rsidRPr="0035621E">
        <w:rPr>
          <w:rFonts w:ascii="Times New Roman" w:hAnsi="Times New Roman" w:cs="Times New Roman"/>
          <w:sz w:val="24"/>
          <w:szCs w:val="24"/>
          <w:lang w:val="en-US"/>
        </w:rPr>
        <w:t xml:space="preserve">Zhang, R., Post, E., &amp; Shea, K. (2012). Warming leads to divergent responses but similarly improved performance of two invasive thistles. </w:t>
      </w:r>
      <w:r w:rsidRPr="0035621E">
        <w:rPr>
          <w:rFonts w:ascii="Times New Roman" w:hAnsi="Times New Roman" w:cs="Times New Roman"/>
          <w:i/>
          <w:iCs/>
          <w:sz w:val="24"/>
          <w:szCs w:val="24"/>
          <w:lang w:val="en-US"/>
        </w:rPr>
        <w:t>Population Ecology</w:t>
      </w:r>
      <w:r w:rsidRPr="0035621E">
        <w:rPr>
          <w:rFonts w:ascii="Times New Roman" w:hAnsi="Times New Roman" w:cs="Times New Roman"/>
          <w:sz w:val="24"/>
          <w:szCs w:val="24"/>
          <w:lang w:val="en-US"/>
        </w:rPr>
        <w:t>, 54(4), 583-589.</w:t>
      </w:r>
      <w:r w:rsidR="00297B71">
        <w:rPr>
          <w:rFonts w:ascii="Times New Roman" w:hAnsi="Times New Roman" w:cs="Times New Roman"/>
          <w:sz w:val="24"/>
          <w:szCs w:val="24"/>
        </w:rPr>
        <w:br w:type="page"/>
      </w:r>
    </w:p>
    <w:p w14:paraId="536E5357" w14:textId="03D0ACD6" w:rsidR="007D7168" w:rsidRDefault="007D7168" w:rsidP="00B8676D">
      <w:pPr>
        <w:spacing w:after="0" w:line="480" w:lineRule="auto"/>
        <w:jc w:val="both"/>
        <w:rPr>
          <w:rFonts w:ascii="Times New Roman" w:hAnsi="Times New Roman" w:cs="Times New Roman"/>
          <w:sz w:val="24"/>
          <w:szCs w:val="24"/>
        </w:rPr>
      </w:pPr>
      <w:r w:rsidRPr="00AF16AD">
        <w:rPr>
          <w:rFonts w:ascii="Times New Roman" w:hAnsi="Times New Roman" w:cs="Times New Roman"/>
          <w:b/>
          <w:bCs/>
          <w:sz w:val="24"/>
          <w:szCs w:val="24"/>
        </w:rPr>
        <w:lastRenderedPageBreak/>
        <w:t>Table 1</w:t>
      </w:r>
      <w:r>
        <w:rPr>
          <w:rFonts w:ascii="Times New Roman" w:hAnsi="Times New Roman" w:cs="Times New Roman"/>
          <w:sz w:val="24"/>
          <w:szCs w:val="24"/>
        </w:rPr>
        <w:t xml:space="preserve">. </w:t>
      </w:r>
      <w:r w:rsidR="0035621E" w:rsidRPr="0035621E">
        <w:rPr>
          <w:rFonts w:ascii="Times New Roman" w:hAnsi="Times New Roman" w:cs="Times New Roman"/>
          <w:sz w:val="24"/>
          <w:szCs w:val="24"/>
          <w:lang w:val="en-US"/>
        </w:rPr>
        <w:t>Median simulated spread rates, in meters per year, for the 8 core scenarios examined. The unwarmed scenario that included both wind- and ant-driven movement of seeds, as well as seed predation via ants, was considered the base case.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2017"/>
        <w:gridCol w:w="2018"/>
        <w:gridCol w:w="2018"/>
        <w:gridCol w:w="2018"/>
      </w:tblGrid>
      <w:tr w:rsidR="00AF16AD" w14:paraId="18D28D28" w14:textId="77777777">
        <w:tc>
          <w:tcPr>
            <w:tcW w:w="1284" w:type="dxa"/>
            <w:tcBorders>
              <w:bottom w:val="single" w:sz="4" w:space="0" w:color="auto"/>
            </w:tcBorders>
            <w:vAlign w:val="bottom"/>
          </w:tcPr>
          <w:p w14:paraId="02B2B072" w14:textId="77777777" w:rsidR="00F83C6E" w:rsidRPr="00527700" w:rsidRDefault="00F83C6E">
            <w:pPr>
              <w:spacing w:line="22" w:lineRule="atLeast"/>
              <w:jc w:val="center"/>
              <w:rPr>
                <w:rFonts w:ascii="Times New Roman" w:hAnsi="Times New Roman" w:cs="Times New Roman"/>
                <w:b/>
                <w:bCs/>
              </w:rPr>
            </w:pPr>
            <w:r w:rsidRPr="00527700">
              <w:rPr>
                <w:rFonts w:ascii="Times New Roman" w:hAnsi="Times New Roman" w:cs="Times New Roman"/>
                <w:b/>
                <w:bCs/>
              </w:rPr>
              <w:t>Treatment</w:t>
            </w:r>
          </w:p>
        </w:tc>
        <w:tc>
          <w:tcPr>
            <w:tcW w:w="2017" w:type="dxa"/>
            <w:tcBorders>
              <w:bottom w:val="single" w:sz="4" w:space="0" w:color="auto"/>
            </w:tcBorders>
          </w:tcPr>
          <w:p w14:paraId="1C27B3A6"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 Ant Disp.</w:t>
            </w:r>
          </w:p>
          <w:p w14:paraId="3A239D8E"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Ant Predation</w:t>
            </w:r>
          </w:p>
        </w:tc>
        <w:tc>
          <w:tcPr>
            <w:tcW w:w="2018" w:type="dxa"/>
            <w:tcBorders>
              <w:bottom w:val="single" w:sz="4" w:space="0" w:color="auto"/>
            </w:tcBorders>
          </w:tcPr>
          <w:p w14:paraId="03602E8D"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Disp. Only</w:t>
            </w:r>
          </w:p>
          <w:p w14:paraId="1BE68229"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Ant Predation</w:t>
            </w:r>
          </w:p>
        </w:tc>
        <w:tc>
          <w:tcPr>
            <w:tcW w:w="2018" w:type="dxa"/>
            <w:tcBorders>
              <w:bottom w:val="single" w:sz="4" w:space="0" w:color="auto"/>
            </w:tcBorders>
          </w:tcPr>
          <w:p w14:paraId="751C1570"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 Ant Disp.</w:t>
            </w:r>
          </w:p>
          <w:p w14:paraId="516F72E1"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No Ant Predation</w:t>
            </w:r>
          </w:p>
        </w:tc>
        <w:tc>
          <w:tcPr>
            <w:tcW w:w="2018" w:type="dxa"/>
            <w:tcBorders>
              <w:bottom w:val="single" w:sz="4" w:space="0" w:color="auto"/>
            </w:tcBorders>
          </w:tcPr>
          <w:p w14:paraId="3B97120E"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Disp. Only</w:t>
            </w:r>
          </w:p>
          <w:p w14:paraId="2D9C87A4"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No Ant Predation</w:t>
            </w:r>
          </w:p>
        </w:tc>
      </w:tr>
      <w:tr w:rsidR="00AF16AD" w14:paraId="631FF276" w14:textId="77777777">
        <w:tc>
          <w:tcPr>
            <w:tcW w:w="1284" w:type="dxa"/>
            <w:tcBorders>
              <w:top w:val="single" w:sz="4" w:space="0" w:color="auto"/>
            </w:tcBorders>
          </w:tcPr>
          <w:p w14:paraId="1D15C253" w14:textId="77777777" w:rsidR="00F83C6E" w:rsidRDefault="00F83C6E">
            <w:pPr>
              <w:spacing w:line="22" w:lineRule="atLeast"/>
              <w:jc w:val="both"/>
              <w:rPr>
                <w:rFonts w:ascii="Times New Roman" w:hAnsi="Times New Roman" w:cs="Times New Roman"/>
                <w:sz w:val="24"/>
                <w:szCs w:val="24"/>
              </w:rPr>
            </w:pPr>
            <w:r>
              <w:rPr>
                <w:rFonts w:ascii="Times New Roman" w:hAnsi="Times New Roman" w:cs="Times New Roman"/>
                <w:sz w:val="24"/>
                <w:szCs w:val="24"/>
              </w:rPr>
              <w:t>Unwarmed</w:t>
            </w:r>
          </w:p>
        </w:tc>
        <w:tc>
          <w:tcPr>
            <w:tcW w:w="2017" w:type="dxa"/>
            <w:tcBorders>
              <w:top w:val="single" w:sz="4" w:space="0" w:color="auto"/>
            </w:tcBorders>
          </w:tcPr>
          <w:p w14:paraId="66CCA139" w14:textId="6EE0A564"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16.5</w:t>
            </w:r>
          </w:p>
        </w:tc>
        <w:tc>
          <w:tcPr>
            <w:tcW w:w="2018" w:type="dxa"/>
            <w:tcBorders>
              <w:top w:val="single" w:sz="4" w:space="0" w:color="auto"/>
            </w:tcBorders>
          </w:tcPr>
          <w:p w14:paraId="5351F4F4" w14:textId="3A085A18"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19.</w:t>
            </w:r>
            <w:r w:rsidR="00335AC9">
              <w:rPr>
                <w:rFonts w:ascii="Times New Roman" w:hAnsi="Times New Roman" w:cs="Times New Roman"/>
                <w:sz w:val="24"/>
                <w:szCs w:val="24"/>
              </w:rPr>
              <w:t>3</w:t>
            </w:r>
          </w:p>
        </w:tc>
        <w:tc>
          <w:tcPr>
            <w:tcW w:w="2018" w:type="dxa"/>
            <w:tcBorders>
              <w:top w:val="single" w:sz="4" w:space="0" w:color="auto"/>
            </w:tcBorders>
          </w:tcPr>
          <w:p w14:paraId="0A2F080A" w14:textId="50B96E74"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52.</w:t>
            </w:r>
            <w:r w:rsidR="00335AC9">
              <w:rPr>
                <w:rFonts w:ascii="Times New Roman" w:hAnsi="Times New Roman" w:cs="Times New Roman"/>
                <w:sz w:val="24"/>
                <w:szCs w:val="24"/>
              </w:rPr>
              <w:t>2</w:t>
            </w:r>
          </w:p>
        </w:tc>
        <w:tc>
          <w:tcPr>
            <w:tcW w:w="2018" w:type="dxa"/>
            <w:tcBorders>
              <w:top w:val="single" w:sz="4" w:space="0" w:color="auto"/>
            </w:tcBorders>
          </w:tcPr>
          <w:p w14:paraId="4954217A" w14:textId="6FA2C712"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70.3</w:t>
            </w:r>
          </w:p>
        </w:tc>
      </w:tr>
      <w:tr w:rsidR="00AF16AD" w14:paraId="2D79017E" w14:textId="77777777">
        <w:tc>
          <w:tcPr>
            <w:tcW w:w="1284" w:type="dxa"/>
          </w:tcPr>
          <w:p w14:paraId="6426AA90" w14:textId="77777777" w:rsidR="00F83C6E" w:rsidRDefault="00F83C6E">
            <w:pPr>
              <w:spacing w:line="22" w:lineRule="atLeast"/>
              <w:jc w:val="both"/>
              <w:rPr>
                <w:rFonts w:ascii="Times New Roman" w:hAnsi="Times New Roman" w:cs="Times New Roman"/>
                <w:sz w:val="24"/>
                <w:szCs w:val="24"/>
              </w:rPr>
            </w:pPr>
            <w:r>
              <w:rPr>
                <w:rFonts w:ascii="Times New Roman" w:hAnsi="Times New Roman" w:cs="Times New Roman"/>
                <w:sz w:val="24"/>
                <w:szCs w:val="24"/>
              </w:rPr>
              <w:t>Warmed</w:t>
            </w:r>
          </w:p>
        </w:tc>
        <w:tc>
          <w:tcPr>
            <w:tcW w:w="2017" w:type="dxa"/>
          </w:tcPr>
          <w:p w14:paraId="3A6A4462" w14:textId="54002979"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32.</w:t>
            </w:r>
            <w:r w:rsidR="0075750F">
              <w:rPr>
                <w:rFonts w:ascii="Times New Roman" w:hAnsi="Times New Roman" w:cs="Times New Roman"/>
                <w:sz w:val="24"/>
                <w:szCs w:val="24"/>
              </w:rPr>
              <w:t>2</w:t>
            </w:r>
          </w:p>
        </w:tc>
        <w:tc>
          <w:tcPr>
            <w:tcW w:w="2018" w:type="dxa"/>
          </w:tcPr>
          <w:p w14:paraId="19CE36ED" w14:textId="2FC0F557"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38.</w:t>
            </w:r>
            <w:r w:rsidR="00335AC9">
              <w:rPr>
                <w:rFonts w:ascii="Times New Roman" w:hAnsi="Times New Roman" w:cs="Times New Roman"/>
                <w:sz w:val="24"/>
                <w:szCs w:val="24"/>
              </w:rPr>
              <w:t>2</w:t>
            </w:r>
          </w:p>
        </w:tc>
        <w:tc>
          <w:tcPr>
            <w:tcW w:w="2018" w:type="dxa"/>
          </w:tcPr>
          <w:p w14:paraId="171DD4FA" w14:textId="43A79F85"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97.9</w:t>
            </w:r>
          </w:p>
        </w:tc>
        <w:tc>
          <w:tcPr>
            <w:tcW w:w="2018" w:type="dxa"/>
          </w:tcPr>
          <w:p w14:paraId="6E803B1B" w14:textId="0796BD47"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137.1</w:t>
            </w:r>
          </w:p>
        </w:tc>
      </w:tr>
    </w:tbl>
    <w:p w14:paraId="366E4821" w14:textId="77777777" w:rsidR="00D9764D" w:rsidRDefault="00D9764D">
      <w:pPr>
        <w:rPr>
          <w:rFonts w:ascii="Times New Roman" w:hAnsi="Times New Roman" w:cs="Times New Roman"/>
          <w:sz w:val="24"/>
          <w:szCs w:val="24"/>
        </w:rPr>
      </w:pPr>
      <w:r>
        <w:rPr>
          <w:rFonts w:ascii="Times New Roman" w:hAnsi="Times New Roman" w:cs="Times New Roman"/>
          <w:sz w:val="24"/>
          <w:szCs w:val="24"/>
        </w:rPr>
        <w:br w:type="page"/>
      </w:r>
    </w:p>
    <w:p w14:paraId="311C6610" w14:textId="2C2E055F" w:rsidR="00D9764D" w:rsidRDefault="00D9764D" w:rsidP="00B8676D">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lastRenderedPageBreak/>
        <w:t xml:space="preserve">Figure </w:t>
      </w:r>
      <w:r w:rsidR="00EE6A7B">
        <w:rPr>
          <w:rFonts w:ascii="Times New Roman" w:hAnsi="Times New Roman" w:cs="Times New Roman"/>
          <w:b/>
          <w:bCs/>
          <w:sz w:val="24"/>
          <w:szCs w:val="24"/>
        </w:rPr>
        <w:t>c</w:t>
      </w:r>
      <w:r w:rsidRPr="00066D6F">
        <w:rPr>
          <w:rFonts w:ascii="Times New Roman" w:hAnsi="Times New Roman" w:cs="Times New Roman"/>
          <w:b/>
          <w:bCs/>
          <w:sz w:val="24"/>
          <w:szCs w:val="24"/>
        </w:rPr>
        <w:t>aptions</w:t>
      </w:r>
    </w:p>
    <w:p w14:paraId="56AC0F6B" w14:textId="726DE358" w:rsid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Figure 1</w:t>
      </w:r>
      <w:r w:rsidRPr="00643B5F">
        <w:rPr>
          <w:rFonts w:ascii="Times New Roman" w:hAnsi="Times New Roman" w:cs="Times New Roman"/>
          <w:sz w:val="24"/>
          <w:szCs w:val="24"/>
        </w:rPr>
        <w:t xml:space="preserve">. </w:t>
      </w:r>
      <w:r w:rsidR="0035621E" w:rsidRPr="0035621E">
        <w:rPr>
          <w:rFonts w:ascii="Times New Roman" w:hAnsi="Times New Roman" w:cs="Times New Roman"/>
          <w:sz w:val="24"/>
          <w:szCs w:val="24"/>
          <w:lang w:val="en-US"/>
        </w:rPr>
        <w:t>Schematic for the algorithm used in the individual-based model of population spread. All processes were evaluated in order over the course of each 1-year time step. Solid boxes indicate stationary processes, while dashed boxes indicate movement processes. Instances where outcomes were strictly binary are marked with “N” and “Y” that indicate “no” and “yes”, respectively.</w:t>
      </w:r>
    </w:p>
    <w:p w14:paraId="0FED71D8" w14:textId="2DFFD736" w:rsid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643B5F">
        <w:rPr>
          <w:rFonts w:ascii="Times New Roman" w:hAnsi="Times New Roman" w:cs="Times New Roman"/>
          <w:sz w:val="24"/>
          <w:szCs w:val="24"/>
        </w:rPr>
        <w:t xml:space="preserve">. </w:t>
      </w:r>
      <w:r w:rsidR="0035621E" w:rsidRPr="0035621E">
        <w:rPr>
          <w:rFonts w:ascii="Times New Roman" w:hAnsi="Times New Roman" w:cs="Times New Roman"/>
          <w:sz w:val="24"/>
          <w:szCs w:val="24"/>
          <w:lang w:val="en-US"/>
        </w:rPr>
        <w:t>Elasticity of median spread rates for probabilistic dispersal-related parameters (light green), non-probabilistic dispersal-related parameters (dark green), and the maximum thistle density per meter (purple). All elasticities are rescaled by dividing by the sum of their absolute values, allowing for comparison of relative importance between the parameters.</w:t>
      </w:r>
    </w:p>
    <w:p w14:paraId="19F1A04A" w14:textId="5F7A55F6" w:rsidR="0037338E" w:rsidRP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643B5F">
        <w:rPr>
          <w:rFonts w:ascii="Times New Roman" w:hAnsi="Times New Roman" w:cs="Times New Roman"/>
          <w:sz w:val="24"/>
          <w:szCs w:val="24"/>
        </w:rPr>
        <w:t xml:space="preserve">. </w:t>
      </w:r>
      <w:r w:rsidR="0035621E" w:rsidRPr="0035621E">
        <w:rPr>
          <w:rFonts w:ascii="Times New Roman" w:hAnsi="Times New Roman" w:cs="Times New Roman"/>
          <w:sz w:val="24"/>
          <w:szCs w:val="24"/>
          <w:lang w:val="en-US"/>
        </w:rPr>
        <w:t>Median spread rates from perturbations on probabilistic dispersal-related parameters (light green), non-probabilistic dispersal-related parameters (dark green), and the maximum thistle density per meter (purple). Perturbations are scaled in increments of 0.1 for probabilistic parameters, and in increments of ±10% of the observed value for non-probabilistic parameters. The parameters featured above are as follows: a) probability of seed removal by ants, b) probability of seed surviving predation if removed by ants, c) probability of seed release from flower heads, d) intercept flower head height, e) size-slope flower head height, f) SD flower head height, g) surrounding vegetation height, h) mean seed terminal velocity, i) SD seed terminal velocity, j) mean wind speed, k) SD wind speed, l) maximum thistle density per meter, m) mean ant nest density per meter, and n) maximum search distance from ant nest.</w:t>
      </w:r>
      <w:r w:rsidR="0037338E" w:rsidRPr="00066D6F">
        <w:rPr>
          <w:rFonts w:ascii="Times New Roman" w:hAnsi="Times New Roman" w:cs="Times New Roman"/>
          <w:b/>
          <w:bCs/>
          <w:sz w:val="24"/>
          <w:szCs w:val="24"/>
        </w:rPr>
        <w:br w:type="page"/>
      </w:r>
    </w:p>
    <w:p w14:paraId="3D21D510" w14:textId="51958077" w:rsidR="000D78EE" w:rsidRDefault="00CE6326" w:rsidP="000D78EE">
      <w:pPr>
        <w:spacing w:line="22" w:lineRule="atLeast"/>
        <w:ind w:left="284" w:hanging="28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8CD94C" wp14:editId="24966EE3">
            <wp:extent cx="5943600" cy="4963368"/>
            <wp:effectExtent l="0" t="0" r="0" b="8890"/>
            <wp:docPr id="2144502915" name="Picture 1" descr="A diagram of different types of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2915" name="Picture 1" descr="A diagram of different types of flow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63368"/>
                    </a:xfrm>
                    <a:prstGeom prst="rect">
                      <a:avLst/>
                    </a:prstGeom>
                    <a:noFill/>
                  </pic:spPr>
                </pic:pic>
              </a:graphicData>
            </a:graphic>
          </wp:inline>
        </w:drawing>
      </w:r>
    </w:p>
    <w:p w14:paraId="68D8429F" w14:textId="5B0A73D4" w:rsidR="00DB4305" w:rsidRDefault="00DB4305" w:rsidP="00056E44">
      <w:pPr>
        <w:spacing w:line="240" w:lineRule="auto"/>
        <w:jc w:val="both"/>
        <w:rPr>
          <w:rFonts w:ascii="Times New Roman" w:hAnsi="Times New Roman" w:cs="Times New Roman"/>
          <w:sz w:val="24"/>
          <w:szCs w:val="24"/>
        </w:rPr>
      </w:pPr>
    </w:p>
    <w:p w14:paraId="3FED38BA" w14:textId="4D29F75A" w:rsidR="00D23278" w:rsidRDefault="00643B5F" w:rsidP="00066D6F">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Figure 1</w:t>
      </w:r>
      <w:r w:rsidRPr="00643B5F">
        <w:rPr>
          <w:rFonts w:ascii="Times New Roman" w:hAnsi="Times New Roman" w:cs="Times New Roman"/>
          <w:sz w:val="24"/>
          <w:szCs w:val="24"/>
        </w:rPr>
        <w:t>.</w:t>
      </w:r>
      <w:r w:rsidR="00D23278">
        <w:rPr>
          <w:rFonts w:ascii="Times New Roman" w:hAnsi="Times New Roman" w:cs="Times New Roman"/>
          <w:sz w:val="24"/>
          <w:szCs w:val="24"/>
        </w:rPr>
        <w:br w:type="page"/>
      </w:r>
    </w:p>
    <w:p w14:paraId="1E60A232" w14:textId="1BA3BDF8" w:rsidR="005F7BAC" w:rsidRDefault="00625D1D" w:rsidP="00AF16A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03A4A43" wp14:editId="642A49F3">
            <wp:extent cx="6098400" cy="4572000"/>
            <wp:effectExtent l="0" t="0" r="0" b="0"/>
            <wp:docPr id="42339825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8400" cy="4572000"/>
                    </a:xfrm>
                    <a:prstGeom prst="rect">
                      <a:avLst/>
                    </a:prstGeom>
                    <a:noFill/>
                    <a:ln>
                      <a:noFill/>
                    </a:ln>
                  </pic:spPr>
                </pic:pic>
              </a:graphicData>
            </a:graphic>
          </wp:inline>
        </w:drawing>
      </w:r>
    </w:p>
    <w:p w14:paraId="0433F679" w14:textId="77777777" w:rsidR="005F7BAC" w:rsidRDefault="005F7BAC" w:rsidP="005F7BAC">
      <w:pPr>
        <w:spacing w:line="240" w:lineRule="auto"/>
        <w:jc w:val="both"/>
        <w:rPr>
          <w:rFonts w:ascii="Times New Roman" w:hAnsi="Times New Roman" w:cs="Times New Roman"/>
          <w:b/>
          <w:bCs/>
          <w:sz w:val="24"/>
          <w:szCs w:val="24"/>
        </w:rPr>
      </w:pPr>
    </w:p>
    <w:p w14:paraId="5894798C" w14:textId="08F4F8E0" w:rsidR="00FC38F2" w:rsidRDefault="005F7BAC" w:rsidP="00066D6F">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sidR="00FC38F2">
        <w:rPr>
          <w:rFonts w:ascii="Times New Roman" w:hAnsi="Times New Roman" w:cs="Times New Roman"/>
          <w:b/>
          <w:bCs/>
          <w:sz w:val="24"/>
          <w:szCs w:val="24"/>
        </w:rPr>
        <w:t>2</w:t>
      </w:r>
      <w:r w:rsidRPr="00643B5F">
        <w:rPr>
          <w:rFonts w:ascii="Times New Roman" w:hAnsi="Times New Roman" w:cs="Times New Roman"/>
          <w:sz w:val="24"/>
          <w:szCs w:val="24"/>
        </w:rPr>
        <w:t>.</w:t>
      </w:r>
      <w:r w:rsidR="00FC38F2">
        <w:rPr>
          <w:rFonts w:ascii="Times New Roman" w:hAnsi="Times New Roman" w:cs="Times New Roman"/>
          <w:sz w:val="24"/>
          <w:szCs w:val="24"/>
        </w:rPr>
        <w:br w:type="page"/>
      </w:r>
    </w:p>
    <w:p w14:paraId="1776250A" w14:textId="7D9084ED" w:rsidR="00FC38F2" w:rsidRDefault="003E2D12" w:rsidP="00FC38F2">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D0F71B6" wp14:editId="283DC138">
            <wp:extent cx="5968800" cy="3610800"/>
            <wp:effectExtent l="0" t="0" r="0" b="8890"/>
            <wp:docPr id="76640062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8800" cy="3610800"/>
                    </a:xfrm>
                    <a:prstGeom prst="rect">
                      <a:avLst/>
                    </a:prstGeom>
                    <a:noFill/>
                    <a:ln>
                      <a:noFill/>
                    </a:ln>
                  </pic:spPr>
                </pic:pic>
              </a:graphicData>
            </a:graphic>
          </wp:inline>
        </w:drawing>
      </w:r>
    </w:p>
    <w:p w14:paraId="2A77AC94" w14:textId="77777777" w:rsidR="00FC38F2" w:rsidRDefault="00FC38F2" w:rsidP="00FC38F2">
      <w:pPr>
        <w:spacing w:line="240" w:lineRule="auto"/>
        <w:jc w:val="both"/>
        <w:rPr>
          <w:rFonts w:ascii="Times New Roman" w:hAnsi="Times New Roman" w:cs="Times New Roman"/>
          <w:b/>
          <w:bCs/>
          <w:sz w:val="24"/>
          <w:szCs w:val="24"/>
        </w:rPr>
      </w:pPr>
    </w:p>
    <w:p w14:paraId="225E65B1" w14:textId="0EF908CF" w:rsidR="00643B5F" w:rsidRPr="00143B71" w:rsidRDefault="00FC38F2" w:rsidP="00056E44">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643B5F">
        <w:rPr>
          <w:rFonts w:ascii="Times New Roman" w:hAnsi="Times New Roman" w:cs="Times New Roman"/>
          <w:sz w:val="24"/>
          <w:szCs w:val="24"/>
        </w:rPr>
        <w:t>.</w:t>
      </w:r>
    </w:p>
    <w:sectPr w:rsidR="00643B5F" w:rsidRPr="00143B71" w:rsidSect="00066D6F">
      <w:footerReference w:type="default" r:id="rId15"/>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evor Drees" w:date="2025-09-02T16:56:00Z" w:initials="TD">
    <w:p w14:paraId="042C004B" w14:textId="77777777" w:rsidR="00B024D2" w:rsidRDefault="003D7406" w:rsidP="00B024D2">
      <w:pPr>
        <w:pStyle w:val="CommentText"/>
      </w:pPr>
      <w:r>
        <w:rPr>
          <w:rStyle w:val="CommentReference"/>
        </w:rPr>
        <w:annotationRef/>
      </w:r>
      <w:r w:rsidR="00B024D2">
        <w:t>Might need to condense this a bit to put us back at the page limit.</w:t>
      </w:r>
    </w:p>
  </w:comment>
  <w:comment w:id="5" w:author="Shea, Katriona" w:date="2025-09-05T14:10:00Z" w:initials="KS">
    <w:p w14:paraId="14AA6DA5" w14:textId="6515EF05" w:rsidR="002E561C" w:rsidRDefault="002E561C">
      <w:pPr>
        <w:pStyle w:val="CommentText"/>
      </w:pPr>
      <w:r>
        <w:rPr>
          <w:rStyle w:val="CommentReference"/>
        </w:rPr>
        <w:annotationRef/>
      </w:r>
      <w:r>
        <w:t xml:space="preserve">Leave it for the thesis.  Then, when we have the committee input/edits, we can look at how long </w:t>
      </w:r>
      <w:r w:rsidR="003F573A">
        <w:t>the ms is,</w:t>
      </w:r>
      <w:r>
        <w:t xml:space="preserve"> and trim from there.</w:t>
      </w:r>
    </w:p>
  </w:comment>
  <w:comment w:id="11" w:author="Shea, Katriona" w:date="2025-09-08T09:22:00Z" w:initials="KS">
    <w:p w14:paraId="1DCE81EE" w14:textId="77777777" w:rsidR="0035621E" w:rsidRDefault="0035621E" w:rsidP="00EA671A">
      <w:pPr>
        <w:pStyle w:val="CommentText"/>
      </w:pPr>
      <w:r>
        <w:rPr>
          <w:rStyle w:val="CommentReference"/>
        </w:rPr>
        <w:annotationRef/>
      </w:r>
      <w:r>
        <w:t>Keep a note to update this for the paper, but don’t worry about changing this for the thesis. *** I think we should lead this para with the idea that people think of seed removal as either dispersal or predation, when in fact it is not binary but a spectrum.</w:t>
      </w:r>
    </w:p>
  </w:comment>
  <w:comment w:id="12" w:author="Shea, Katriona" w:date="2025-10-08T16:48:00Z" w:initials="KS">
    <w:p w14:paraId="165B4355" w14:textId="77777777" w:rsidR="0035621E" w:rsidRDefault="0035621E">
      <w:pPr>
        <w:pStyle w:val="CommentText"/>
      </w:pPr>
      <w:r>
        <w:rPr>
          <w:rStyle w:val="CommentReference"/>
        </w:rPr>
        <w:annotationRef/>
      </w:r>
      <w:r>
        <w:t>Given Carolyn’s request, I tried adding this – what do you think?</w:t>
      </w:r>
    </w:p>
  </w:comment>
  <w:comment w:id="13" w:author="Trevor Drees" w:date="2025-10-12T13:17:00Z" w:initials="TD">
    <w:p w14:paraId="4632CC60" w14:textId="77777777" w:rsidR="0035621E" w:rsidRDefault="0035621E" w:rsidP="006123D1">
      <w:pPr>
        <w:pStyle w:val="CommentText"/>
      </w:pPr>
      <w:r>
        <w:rPr>
          <w:rStyle w:val="CommentReference"/>
        </w:rPr>
        <w:annotationRef/>
      </w:r>
      <w:r>
        <w:t>I’m good with what you’ve added here; accepted changes.</w:t>
      </w:r>
    </w:p>
  </w:comment>
  <w:comment w:id="14" w:author="Shea, Katriona" w:date="2025-10-16T10:38:00Z" w:initials="KS">
    <w:p w14:paraId="25D75711" w14:textId="77777777" w:rsidR="0035621E" w:rsidRDefault="0035621E">
      <w:pPr>
        <w:pStyle w:val="CommentText"/>
      </w:pPr>
      <w:r>
        <w:rPr>
          <w:rStyle w:val="CommentReference"/>
        </w:rPr>
        <w:annotationRef/>
      </w:r>
      <w:r>
        <w:t>good</w:t>
      </w:r>
    </w:p>
  </w:comment>
  <w:comment w:id="15" w:author="Trevor Drees" w:date="2025-09-07T21:21:00Z" w:initials="TD">
    <w:p w14:paraId="5133F8FF" w14:textId="77777777" w:rsidR="0035621E" w:rsidRDefault="0035621E" w:rsidP="0035621E">
      <w:pPr>
        <w:pStyle w:val="CommentText"/>
      </w:pPr>
      <w:r>
        <w:rPr>
          <w:rStyle w:val="CommentReference"/>
        </w:rPr>
        <w:annotationRef/>
      </w:r>
      <w:r>
        <w:t>Left this paragraph in for now… would feel a bit weird having climate change referenced in our title but not spending any of the discussion talking about it. I think the first two sentences are a decent segue from resolving uncertainty around predation rates to resolving uncertainty about how key rates may change in future climates.</w:t>
      </w:r>
    </w:p>
    <w:p w14:paraId="51E435F6" w14:textId="77777777" w:rsidR="0035621E" w:rsidRDefault="0035621E" w:rsidP="0035621E">
      <w:pPr>
        <w:pStyle w:val="CommentText"/>
      </w:pPr>
    </w:p>
    <w:p w14:paraId="3AF70AB7" w14:textId="77777777" w:rsidR="0035621E" w:rsidRDefault="0035621E" w:rsidP="0035621E">
      <w:pPr>
        <w:pStyle w:val="CommentText"/>
      </w:pPr>
      <w:r>
        <w:t>However, I think we can trim this paragraph down. Feel free to make edits.</w:t>
      </w:r>
    </w:p>
  </w:comment>
  <w:comment w:id="16" w:author="Shea, Katriona" w:date="2025-09-08T09:24:00Z" w:initials="KS">
    <w:p w14:paraId="3262DAFC" w14:textId="77777777" w:rsidR="0035621E" w:rsidRDefault="0035621E" w:rsidP="00EA671A">
      <w:pPr>
        <w:pStyle w:val="CommentText"/>
      </w:pPr>
      <w:r>
        <w:rPr>
          <w:rStyle w:val="CommentReference"/>
        </w:rPr>
        <w:annotationRef/>
      </w:r>
      <w:r>
        <w:t>Leave it as is for now.  We can trim when we look over the whole thing for resubmission to Ecology, but it seemed fine as I read through today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C004B" w15:done="0"/>
  <w15:commentEx w15:paraId="14AA6DA5" w15:paraIdParent="042C004B" w15:done="0"/>
  <w15:commentEx w15:paraId="1DCE81EE" w15:done="0"/>
  <w15:commentEx w15:paraId="165B4355" w15:paraIdParent="1DCE81EE" w15:done="0"/>
  <w15:commentEx w15:paraId="4632CC60" w15:paraIdParent="1DCE81EE" w15:done="0"/>
  <w15:commentEx w15:paraId="25D75711" w15:paraIdParent="1DCE81EE" w15:done="0"/>
  <w15:commentEx w15:paraId="3AF70AB7" w15:done="0"/>
  <w15:commentEx w15:paraId="3262DAFC" w15:paraIdParent="3AF70A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FE0AAC" w16cex:dateUtc="2025-09-02T23:56:00Z"/>
  <w16cex:commentExtensible w16cex:durableId="02978065" w16cex:dateUtc="2025-09-05T18:10:00Z"/>
  <w16cex:commentExtensible w16cex:durableId="3A640564" w16cex:dateUtc="2025-09-08T13:22:00Z"/>
  <w16cex:commentExtensible w16cex:durableId="72D57943" w16cex:dateUtc="2025-10-08T20:48:00Z"/>
  <w16cex:commentExtensible w16cex:durableId="401EBEF4" w16cex:dateUtc="2025-10-12T20:17:00Z"/>
  <w16cex:commentExtensible w16cex:durableId="6A58EBC8" w16cex:dateUtc="2025-10-16T14:38:00Z"/>
  <w16cex:commentExtensible w16cex:durableId="538AD068" w16cex:dateUtc="2025-09-08T04:21:00Z"/>
  <w16cex:commentExtensible w16cex:durableId="1E77D8AA" w16cex:dateUtc="2025-09-08T1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C004B" w16cid:durableId="50FE0AAC"/>
  <w16cid:commentId w16cid:paraId="14AA6DA5" w16cid:durableId="02978065"/>
  <w16cid:commentId w16cid:paraId="1DCE81EE" w16cid:durableId="3A640564"/>
  <w16cid:commentId w16cid:paraId="165B4355" w16cid:durableId="72D57943"/>
  <w16cid:commentId w16cid:paraId="4632CC60" w16cid:durableId="401EBEF4"/>
  <w16cid:commentId w16cid:paraId="25D75711" w16cid:durableId="6A58EBC8"/>
  <w16cid:commentId w16cid:paraId="3AF70AB7" w16cid:durableId="538AD068"/>
  <w16cid:commentId w16cid:paraId="3262DAFC" w16cid:durableId="1E77D8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515B0" w14:textId="77777777" w:rsidR="00375013" w:rsidRDefault="00375013" w:rsidP="00FD085A">
      <w:pPr>
        <w:spacing w:after="0" w:line="240" w:lineRule="auto"/>
      </w:pPr>
      <w:r>
        <w:separator/>
      </w:r>
    </w:p>
  </w:endnote>
  <w:endnote w:type="continuationSeparator" w:id="0">
    <w:p w14:paraId="36794623" w14:textId="77777777" w:rsidR="00375013" w:rsidRDefault="00375013" w:rsidP="00FD0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746522"/>
      <w:docPartObj>
        <w:docPartGallery w:val="Page Numbers (Bottom of Page)"/>
        <w:docPartUnique/>
      </w:docPartObj>
    </w:sdtPr>
    <w:sdtEndPr>
      <w:rPr>
        <w:noProof/>
      </w:rPr>
    </w:sdtEndPr>
    <w:sdtContent>
      <w:p w14:paraId="58501CF1" w14:textId="4D323D33" w:rsidR="00FD085A" w:rsidRDefault="00FD0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A2CF69" w14:textId="77777777" w:rsidR="00FD085A" w:rsidRDefault="00FD0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07BD3" w14:textId="77777777" w:rsidR="00375013" w:rsidRDefault="00375013" w:rsidP="00FD085A">
      <w:pPr>
        <w:spacing w:after="0" w:line="240" w:lineRule="auto"/>
      </w:pPr>
      <w:r>
        <w:separator/>
      </w:r>
    </w:p>
  </w:footnote>
  <w:footnote w:type="continuationSeparator" w:id="0">
    <w:p w14:paraId="7F593161" w14:textId="77777777" w:rsidR="00375013" w:rsidRDefault="00375013" w:rsidP="00FD0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7D3C"/>
    <w:multiLevelType w:val="hybridMultilevel"/>
    <w:tmpl w:val="5382FD56"/>
    <w:lvl w:ilvl="0" w:tplc="4FF83F72">
      <w:start w:val="1"/>
      <w:numFmt w:val="bullet"/>
      <w:lvlText w:val=""/>
      <w:lvlJc w:val="left"/>
      <w:pPr>
        <w:ind w:left="720" w:hanging="360"/>
      </w:pPr>
      <w:rPr>
        <w:rFonts w:ascii="Symbol" w:hAnsi="Symbol"/>
      </w:rPr>
    </w:lvl>
    <w:lvl w:ilvl="1" w:tplc="55180C74">
      <w:start w:val="1"/>
      <w:numFmt w:val="bullet"/>
      <w:lvlText w:val=""/>
      <w:lvlJc w:val="left"/>
      <w:pPr>
        <w:ind w:left="720" w:hanging="360"/>
      </w:pPr>
      <w:rPr>
        <w:rFonts w:ascii="Symbol" w:hAnsi="Symbol"/>
      </w:rPr>
    </w:lvl>
    <w:lvl w:ilvl="2" w:tplc="291C773E">
      <w:start w:val="1"/>
      <w:numFmt w:val="bullet"/>
      <w:lvlText w:val=""/>
      <w:lvlJc w:val="left"/>
      <w:pPr>
        <w:ind w:left="720" w:hanging="360"/>
      </w:pPr>
      <w:rPr>
        <w:rFonts w:ascii="Symbol" w:hAnsi="Symbol"/>
      </w:rPr>
    </w:lvl>
    <w:lvl w:ilvl="3" w:tplc="F3E2BEF6">
      <w:start w:val="1"/>
      <w:numFmt w:val="bullet"/>
      <w:lvlText w:val=""/>
      <w:lvlJc w:val="left"/>
      <w:pPr>
        <w:ind w:left="720" w:hanging="360"/>
      </w:pPr>
      <w:rPr>
        <w:rFonts w:ascii="Symbol" w:hAnsi="Symbol"/>
      </w:rPr>
    </w:lvl>
    <w:lvl w:ilvl="4" w:tplc="6DF60AB2">
      <w:start w:val="1"/>
      <w:numFmt w:val="bullet"/>
      <w:lvlText w:val=""/>
      <w:lvlJc w:val="left"/>
      <w:pPr>
        <w:ind w:left="720" w:hanging="360"/>
      </w:pPr>
      <w:rPr>
        <w:rFonts w:ascii="Symbol" w:hAnsi="Symbol"/>
      </w:rPr>
    </w:lvl>
    <w:lvl w:ilvl="5" w:tplc="8CBA4476">
      <w:start w:val="1"/>
      <w:numFmt w:val="bullet"/>
      <w:lvlText w:val=""/>
      <w:lvlJc w:val="left"/>
      <w:pPr>
        <w:ind w:left="720" w:hanging="360"/>
      </w:pPr>
      <w:rPr>
        <w:rFonts w:ascii="Symbol" w:hAnsi="Symbol"/>
      </w:rPr>
    </w:lvl>
    <w:lvl w:ilvl="6" w:tplc="E2B4A610">
      <w:start w:val="1"/>
      <w:numFmt w:val="bullet"/>
      <w:lvlText w:val=""/>
      <w:lvlJc w:val="left"/>
      <w:pPr>
        <w:ind w:left="720" w:hanging="360"/>
      </w:pPr>
      <w:rPr>
        <w:rFonts w:ascii="Symbol" w:hAnsi="Symbol"/>
      </w:rPr>
    </w:lvl>
    <w:lvl w:ilvl="7" w:tplc="5074C410">
      <w:start w:val="1"/>
      <w:numFmt w:val="bullet"/>
      <w:lvlText w:val=""/>
      <w:lvlJc w:val="left"/>
      <w:pPr>
        <w:ind w:left="720" w:hanging="360"/>
      </w:pPr>
      <w:rPr>
        <w:rFonts w:ascii="Symbol" w:hAnsi="Symbol"/>
      </w:rPr>
    </w:lvl>
    <w:lvl w:ilvl="8" w:tplc="0D2C8E06">
      <w:start w:val="1"/>
      <w:numFmt w:val="bullet"/>
      <w:lvlText w:val=""/>
      <w:lvlJc w:val="left"/>
      <w:pPr>
        <w:ind w:left="720" w:hanging="360"/>
      </w:pPr>
      <w:rPr>
        <w:rFonts w:ascii="Symbol" w:hAnsi="Symbol"/>
      </w:rPr>
    </w:lvl>
  </w:abstractNum>
  <w:abstractNum w:abstractNumId="1" w15:restartNumberingAfterBreak="0">
    <w:nsid w:val="35540331"/>
    <w:multiLevelType w:val="hybridMultilevel"/>
    <w:tmpl w:val="31A6FE7E"/>
    <w:lvl w:ilvl="0" w:tplc="B536455C">
      <w:start w:val="1"/>
      <w:numFmt w:val="bullet"/>
      <w:lvlText w:val=""/>
      <w:lvlJc w:val="left"/>
      <w:pPr>
        <w:ind w:left="720" w:hanging="360"/>
      </w:pPr>
      <w:rPr>
        <w:rFonts w:ascii="Symbol" w:hAnsi="Symbol"/>
      </w:rPr>
    </w:lvl>
    <w:lvl w:ilvl="1" w:tplc="48B47CEA">
      <w:start w:val="1"/>
      <w:numFmt w:val="bullet"/>
      <w:lvlText w:val=""/>
      <w:lvlJc w:val="left"/>
      <w:pPr>
        <w:ind w:left="720" w:hanging="360"/>
      </w:pPr>
      <w:rPr>
        <w:rFonts w:ascii="Symbol" w:hAnsi="Symbol"/>
      </w:rPr>
    </w:lvl>
    <w:lvl w:ilvl="2" w:tplc="7A84866E">
      <w:start w:val="1"/>
      <w:numFmt w:val="bullet"/>
      <w:lvlText w:val=""/>
      <w:lvlJc w:val="left"/>
      <w:pPr>
        <w:ind w:left="720" w:hanging="360"/>
      </w:pPr>
      <w:rPr>
        <w:rFonts w:ascii="Symbol" w:hAnsi="Symbol"/>
      </w:rPr>
    </w:lvl>
    <w:lvl w:ilvl="3" w:tplc="8DA69536">
      <w:start w:val="1"/>
      <w:numFmt w:val="bullet"/>
      <w:lvlText w:val=""/>
      <w:lvlJc w:val="left"/>
      <w:pPr>
        <w:ind w:left="720" w:hanging="360"/>
      </w:pPr>
      <w:rPr>
        <w:rFonts w:ascii="Symbol" w:hAnsi="Symbol"/>
      </w:rPr>
    </w:lvl>
    <w:lvl w:ilvl="4" w:tplc="A716A60A">
      <w:start w:val="1"/>
      <w:numFmt w:val="bullet"/>
      <w:lvlText w:val=""/>
      <w:lvlJc w:val="left"/>
      <w:pPr>
        <w:ind w:left="720" w:hanging="360"/>
      </w:pPr>
      <w:rPr>
        <w:rFonts w:ascii="Symbol" w:hAnsi="Symbol"/>
      </w:rPr>
    </w:lvl>
    <w:lvl w:ilvl="5" w:tplc="73CE1246">
      <w:start w:val="1"/>
      <w:numFmt w:val="bullet"/>
      <w:lvlText w:val=""/>
      <w:lvlJc w:val="left"/>
      <w:pPr>
        <w:ind w:left="720" w:hanging="360"/>
      </w:pPr>
      <w:rPr>
        <w:rFonts w:ascii="Symbol" w:hAnsi="Symbol"/>
      </w:rPr>
    </w:lvl>
    <w:lvl w:ilvl="6" w:tplc="595A630E">
      <w:start w:val="1"/>
      <w:numFmt w:val="bullet"/>
      <w:lvlText w:val=""/>
      <w:lvlJc w:val="left"/>
      <w:pPr>
        <w:ind w:left="720" w:hanging="360"/>
      </w:pPr>
      <w:rPr>
        <w:rFonts w:ascii="Symbol" w:hAnsi="Symbol"/>
      </w:rPr>
    </w:lvl>
    <w:lvl w:ilvl="7" w:tplc="66123394">
      <w:start w:val="1"/>
      <w:numFmt w:val="bullet"/>
      <w:lvlText w:val=""/>
      <w:lvlJc w:val="left"/>
      <w:pPr>
        <w:ind w:left="720" w:hanging="360"/>
      </w:pPr>
      <w:rPr>
        <w:rFonts w:ascii="Symbol" w:hAnsi="Symbol"/>
      </w:rPr>
    </w:lvl>
    <w:lvl w:ilvl="8" w:tplc="04323DB6">
      <w:start w:val="1"/>
      <w:numFmt w:val="bullet"/>
      <w:lvlText w:val=""/>
      <w:lvlJc w:val="left"/>
      <w:pPr>
        <w:ind w:left="720" w:hanging="360"/>
      </w:pPr>
      <w:rPr>
        <w:rFonts w:ascii="Symbol" w:hAnsi="Symbol"/>
      </w:rPr>
    </w:lvl>
  </w:abstractNum>
  <w:abstractNum w:abstractNumId="2" w15:restartNumberingAfterBreak="0">
    <w:nsid w:val="40985758"/>
    <w:multiLevelType w:val="hybridMultilevel"/>
    <w:tmpl w:val="3B081C7C"/>
    <w:lvl w:ilvl="0" w:tplc="38E4D860">
      <w:start w:val="1"/>
      <w:numFmt w:val="bullet"/>
      <w:lvlText w:val=""/>
      <w:lvlJc w:val="left"/>
      <w:pPr>
        <w:ind w:left="720" w:hanging="360"/>
      </w:pPr>
      <w:rPr>
        <w:rFonts w:ascii="Symbol" w:hAnsi="Symbol"/>
      </w:rPr>
    </w:lvl>
    <w:lvl w:ilvl="1" w:tplc="7CBE2904">
      <w:start w:val="1"/>
      <w:numFmt w:val="bullet"/>
      <w:lvlText w:val=""/>
      <w:lvlJc w:val="left"/>
      <w:pPr>
        <w:ind w:left="720" w:hanging="360"/>
      </w:pPr>
      <w:rPr>
        <w:rFonts w:ascii="Symbol" w:hAnsi="Symbol"/>
      </w:rPr>
    </w:lvl>
    <w:lvl w:ilvl="2" w:tplc="C8A03CD0">
      <w:start w:val="1"/>
      <w:numFmt w:val="bullet"/>
      <w:lvlText w:val=""/>
      <w:lvlJc w:val="left"/>
      <w:pPr>
        <w:ind w:left="720" w:hanging="360"/>
      </w:pPr>
      <w:rPr>
        <w:rFonts w:ascii="Symbol" w:hAnsi="Symbol"/>
      </w:rPr>
    </w:lvl>
    <w:lvl w:ilvl="3" w:tplc="722EB548">
      <w:start w:val="1"/>
      <w:numFmt w:val="bullet"/>
      <w:lvlText w:val=""/>
      <w:lvlJc w:val="left"/>
      <w:pPr>
        <w:ind w:left="720" w:hanging="360"/>
      </w:pPr>
      <w:rPr>
        <w:rFonts w:ascii="Symbol" w:hAnsi="Symbol"/>
      </w:rPr>
    </w:lvl>
    <w:lvl w:ilvl="4" w:tplc="07BAC364">
      <w:start w:val="1"/>
      <w:numFmt w:val="bullet"/>
      <w:lvlText w:val=""/>
      <w:lvlJc w:val="left"/>
      <w:pPr>
        <w:ind w:left="720" w:hanging="360"/>
      </w:pPr>
      <w:rPr>
        <w:rFonts w:ascii="Symbol" w:hAnsi="Symbol"/>
      </w:rPr>
    </w:lvl>
    <w:lvl w:ilvl="5" w:tplc="7AE4FEAA">
      <w:start w:val="1"/>
      <w:numFmt w:val="bullet"/>
      <w:lvlText w:val=""/>
      <w:lvlJc w:val="left"/>
      <w:pPr>
        <w:ind w:left="720" w:hanging="360"/>
      </w:pPr>
      <w:rPr>
        <w:rFonts w:ascii="Symbol" w:hAnsi="Symbol"/>
      </w:rPr>
    </w:lvl>
    <w:lvl w:ilvl="6" w:tplc="4E661442">
      <w:start w:val="1"/>
      <w:numFmt w:val="bullet"/>
      <w:lvlText w:val=""/>
      <w:lvlJc w:val="left"/>
      <w:pPr>
        <w:ind w:left="720" w:hanging="360"/>
      </w:pPr>
      <w:rPr>
        <w:rFonts w:ascii="Symbol" w:hAnsi="Symbol"/>
      </w:rPr>
    </w:lvl>
    <w:lvl w:ilvl="7" w:tplc="66D20D18">
      <w:start w:val="1"/>
      <w:numFmt w:val="bullet"/>
      <w:lvlText w:val=""/>
      <w:lvlJc w:val="left"/>
      <w:pPr>
        <w:ind w:left="720" w:hanging="360"/>
      </w:pPr>
      <w:rPr>
        <w:rFonts w:ascii="Symbol" w:hAnsi="Symbol"/>
      </w:rPr>
    </w:lvl>
    <w:lvl w:ilvl="8" w:tplc="B0C0580E">
      <w:start w:val="1"/>
      <w:numFmt w:val="bullet"/>
      <w:lvlText w:val=""/>
      <w:lvlJc w:val="left"/>
      <w:pPr>
        <w:ind w:left="720" w:hanging="360"/>
      </w:pPr>
      <w:rPr>
        <w:rFonts w:ascii="Symbol" w:hAnsi="Symbol"/>
      </w:rPr>
    </w:lvl>
  </w:abstractNum>
  <w:abstractNum w:abstractNumId="3" w15:restartNumberingAfterBreak="0">
    <w:nsid w:val="51C8217F"/>
    <w:multiLevelType w:val="hybridMultilevel"/>
    <w:tmpl w:val="5CBE3F2E"/>
    <w:lvl w:ilvl="0" w:tplc="3E140426">
      <w:start w:val="1"/>
      <w:numFmt w:val="bullet"/>
      <w:lvlText w:val=""/>
      <w:lvlJc w:val="left"/>
      <w:pPr>
        <w:ind w:left="720" w:hanging="360"/>
      </w:pPr>
      <w:rPr>
        <w:rFonts w:ascii="Symbol" w:hAnsi="Symbol"/>
      </w:rPr>
    </w:lvl>
    <w:lvl w:ilvl="1" w:tplc="9A48327E">
      <w:start w:val="1"/>
      <w:numFmt w:val="bullet"/>
      <w:lvlText w:val=""/>
      <w:lvlJc w:val="left"/>
      <w:pPr>
        <w:ind w:left="720" w:hanging="360"/>
      </w:pPr>
      <w:rPr>
        <w:rFonts w:ascii="Symbol" w:hAnsi="Symbol"/>
      </w:rPr>
    </w:lvl>
    <w:lvl w:ilvl="2" w:tplc="641CE664">
      <w:start w:val="1"/>
      <w:numFmt w:val="bullet"/>
      <w:lvlText w:val=""/>
      <w:lvlJc w:val="left"/>
      <w:pPr>
        <w:ind w:left="720" w:hanging="360"/>
      </w:pPr>
      <w:rPr>
        <w:rFonts w:ascii="Symbol" w:hAnsi="Symbol"/>
      </w:rPr>
    </w:lvl>
    <w:lvl w:ilvl="3" w:tplc="284A265C">
      <w:start w:val="1"/>
      <w:numFmt w:val="bullet"/>
      <w:lvlText w:val=""/>
      <w:lvlJc w:val="left"/>
      <w:pPr>
        <w:ind w:left="720" w:hanging="360"/>
      </w:pPr>
      <w:rPr>
        <w:rFonts w:ascii="Symbol" w:hAnsi="Symbol"/>
      </w:rPr>
    </w:lvl>
    <w:lvl w:ilvl="4" w:tplc="D916D48E">
      <w:start w:val="1"/>
      <w:numFmt w:val="bullet"/>
      <w:lvlText w:val=""/>
      <w:lvlJc w:val="left"/>
      <w:pPr>
        <w:ind w:left="720" w:hanging="360"/>
      </w:pPr>
      <w:rPr>
        <w:rFonts w:ascii="Symbol" w:hAnsi="Symbol"/>
      </w:rPr>
    </w:lvl>
    <w:lvl w:ilvl="5" w:tplc="DD280778">
      <w:start w:val="1"/>
      <w:numFmt w:val="bullet"/>
      <w:lvlText w:val=""/>
      <w:lvlJc w:val="left"/>
      <w:pPr>
        <w:ind w:left="720" w:hanging="360"/>
      </w:pPr>
      <w:rPr>
        <w:rFonts w:ascii="Symbol" w:hAnsi="Symbol"/>
      </w:rPr>
    </w:lvl>
    <w:lvl w:ilvl="6" w:tplc="C138FC94">
      <w:start w:val="1"/>
      <w:numFmt w:val="bullet"/>
      <w:lvlText w:val=""/>
      <w:lvlJc w:val="left"/>
      <w:pPr>
        <w:ind w:left="720" w:hanging="360"/>
      </w:pPr>
      <w:rPr>
        <w:rFonts w:ascii="Symbol" w:hAnsi="Symbol"/>
      </w:rPr>
    </w:lvl>
    <w:lvl w:ilvl="7" w:tplc="72C44900">
      <w:start w:val="1"/>
      <w:numFmt w:val="bullet"/>
      <w:lvlText w:val=""/>
      <w:lvlJc w:val="left"/>
      <w:pPr>
        <w:ind w:left="720" w:hanging="360"/>
      </w:pPr>
      <w:rPr>
        <w:rFonts w:ascii="Symbol" w:hAnsi="Symbol"/>
      </w:rPr>
    </w:lvl>
    <w:lvl w:ilvl="8" w:tplc="ED40535A">
      <w:start w:val="1"/>
      <w:numFmt w:val="bullet"/>
      <w:lvlText w:val=""/>
      <w:lvlJc w:val="left"/>
      <w:pPr>
        <w:ind w:left="720" w:hanging="360"/>
      </w:pPr>
      <w:rPr>
        <w:rFonts w:ascii="Symbol" w:hAnsi="Symbol"/>
      </w:rPr>
    </w:lvl>
  </w:abstractNum>
  <w:abstractNum w:abstractNumId="4" w15:restartNumberingAfterBreak="0">
    <w:nsid w:val="6A213A5D"/>
    <w:multiLevelType w:val="hybridMultilevel"/>
    <w:tmpl w:val="5D2614B0"/>
    <w:lvl w:ilvl="0" w:tplc="1376D828">
      <w:start w:val="1"/>
      <w:numFmt w:val="bullet"/>
      <w:lvlText w:val=""/>
      <w:lvlJc w:val="left"/>
      <w:pPr>
        <w:ind w:left="720" w:hanging="360"/>
      </w:pPr>
      <w:rPr>
        <w:rFonts w:ascii="Symbol" w:hAnsi="Symbol"/>
      </w:rPr>
    </w:lvl>
    <w:lvl w:ilvl="1" w:tplc="04B6F642">
      <w:start w:val="1"/>
      <w:numFmt w:val="bullet"/>
      <w:lvlText w:val=""/>
      <w:lvlJc w:val="left"/>
      <w:pPr>
        <w:ind w:left="720" w:hanging="360"/>
      </w:pPr>
      <w:rPr>
        <w:rFonts w:ascii="Symbol" w:hAnsi="Symbol"/>
      </w:rPr>
    </w:lvl>
    <w:lvl w:ilvl="2" w:tplc="D688DF1A">
      <w:start w:val="1"/>
      <w:numFmt w:val="bullet"/>
      <w:lvlText w:val=""/>
      <w:lvlJc w:val="left"/>
      <w:pPr>
        <w:ind w:left="720" w:hanging="360"/>
      </w:pPr>
      <w:rPr>
        <w:rFonts w:ascii="Symbol" w:hAnsi="Symbol"/>
      </w:rPr>
    </w:lvl>
    <w:lvl w:ilvl="3" w:tplc="8DBCCBE8">
      <w:start w:val="1"/>
      <w:numFmt w:val="bullet"/>
      <w:lvlText w:val=""/>
      <w:lvlJc w:val="left"/>
      <w:pPr>
        <w:ind w:left="720" w:hanging="360"/>
      </w:pPr>
      <w:rPr>
        <w:rFonts w:ascii="Symbol" w:hAnsi="Symbol"/>
      </w:rPr>
    </w:lvl>
    <w:lvl w:ilvl="4" w:tplc="254ACFAA">
      <w:start w:val="1"/>
      <w:numFmt w:val="bullet"/>
      <w:lvlText w:val=""/>
      <w:lvlJc w:val="left"/>
      <w:pPr>
        <w:ind w:left="720" w:hanging="360"/>
      </w:pPr>
      <w:rPr>
        <w:rFonts w:ascii="Symbol" w:hAnsi="Symbol"/>
      </w:rPr>
    </w:lvl>
    <w:lvl w:ilvl="5" w:tplc="3A86B9DC">
      <w:start w:val="1"/>
      <w:numFmt w:val="bullet"/>
      <w:lvlText w:val=""/>
      <w:lvlJc w:val="left"/>
      <w:pPr>
        <w:ind w:left="720" w:hanging="360"/>
      </w:pPr>
      <w:rPr>
        <w:rFonts w:ascii="Symbol" w:hAnsi="Symbol"/>
      </w:rPr>
    </w:lvl>
    <w:lvl w:ilvl="6" w:tplc="C2F49C8A">
      <w:start w:val="1"/>
      <w:numFmt w:val="bullet"/>
      <w:lvlText w:val=""/>
      <w:lvlJc w:val="left"/>
      <w:pPr>
        <w:ind w:left="720" w:hanging="360"/>
      </w:pPr>
      <w:rPr>
        <w:rFonts w:ascii="Symbol" w:hAnsi="Symbol"/>
      </w:rPr>
    </w:lvl>
    <w:lvl w:ilvl="7" w:tplc="D74AE060">
      <w:start w:val="1"/>
      <w:numFmt w:val="bullet"/>
      <w:lvlText w:val=""/>
      <w:lvlJc w:val="left"/>
      <w:pPr>
        <w:ind w:left="720" w:hanging="360"/>
      </w:pPr>
      <w:rPr>
        <w:rFonts w:ascii="Symbol" w:hAnsi="Symbol"/>
      </w:rPr>
    </w:lvl>
    <w:lvl w:ilvl="8" w:tplc="73E228B8">
      <w:start w:val="1"/>
      <w:numFmt w:val="bullet"/>
      <w:lvlText w:val=""/>
      <w:lvlJc w:val="left"/>
      <w:pPr>
        <w:ind w:left="720" w:hanging="360"/>
      </w:pPr>
      <w:rPr>
        <w:rFonts w:ascii="Symbol" w:hAnsi="Symbol"/>
      </w:rPr>
    </w:lvl>
  </w:abstractNum>
  <w:abstractNum w:abstractNumId="5" w15:restartNumberingAfterBreak="0">
    <w:nsid w:val="70FC4642"/>
    <w:multiLevelType w:val="hybridMultilevel"/>
    <w:tmpl w:val="27DEF4C4"/>
    <w:lvl w:ilvl="0" w:tplc="CCBE2788">
      <w:start w:val="1"/>
      <w:numFmt w:val="bullet"/>
      <w:lvlText w:val=""/>
      <w:lvlJc w:val="left"/>
      <w:pPr>
        <w:ind w:left="720" w:hanging="360"/>
      </w:pPr>
      <w:rPr>
        <w:rFonts w:ascii="Symbol" w:hAnsi="Symbol"/>
      </w:rPr>
    </w:lvl>
    <w:lvl w:ilvl="1" w:tplc="D9949A62">
      <w:start w:val="1"/>
      <w:numFmt w:val="bullet"/>
      <w:lvlText w:val=""/>
      <w:lvlJc w:val="left"/>
      <w:pPr>
        <w:ind w:left="720" w:hanging="360"/>
      </w:pPr>
      <w:rPr>
        <w:rFonts w:ascii="Symbol" w:hAnsi="Symbol"/>
      </w:rPr>
    </w:lvl>
    <w:lvl w:ilvl="2" w:tplc="4568F1BA">
      <w:start w:val="1"/>
      <w:numFmt w:val="bullet"/>
      <w:lvlText w:val=""/>
      <w:lvlJc w:val="left"/>
      <w:pPr>
        <w:ind w:left="720" w:hanging="360"/>
      </w:pPr>
      <w:rPr>
        <w:rFonts w:ascii="Symbol" w:hAnsi="Symbol"/>
      </w:rPr>
    </w:lvl>
    <w:lvl w:ilvl="3" w:tplc="0016B654">
      <w:start w:val="1"/>
      <w:numFmt w:val="bullet"/>
      <w:lvlText w:val=""/>
      <w:lvlJc w:val="left"/>
      <w:pPr>
        <w:ind w:left="720" w:hanging="360"/>
      </w:pPr>
      <w:rPr>
        <w:rFonts w:ascii="Symbol" w:hAnsi="Symbol"/>
      </w:rPr>
    </w:lvl>
    <w:lvl w:ilvl="4" w:tplc="346C7EDE">
      <w:start w:val="1"/>
      <w:numFmt w:val="bullet"/>
      <w:lvlText w:val=""/>
      <w:lvlJc w:val="left"/>
      <w:pPr>
        <w:ind w:left="720" w:hanging="360"/>
      </w:pPr>
      <w:rPr>
        <w:rFonts w:ascii="Symbol" w:hAnsi="Symbol"/>
      </w:rPr>
    </w:lvl>
    <w:lvl w:ilvl="5" w:tplc="A9025AB6">
      <w:start w:val="1"/>
      <w:numFmt w:val="bullet"/>
      <w:lvlText w:val=""/>
      <w:lvlJc w:val="left"/>
      <w:pPr>
        <w:ind w:left="720" w:hanging="360"/>
      </w:pPr>
      <w:rPr>
        <w:rFonts w:ascii="Symbol" w:hAnsi="Symbol"/>
      </w:rPr>
    </w:lvl>
    <w:lvl w:ilvl="6" w:tplc="7AA0B2C6">
      <w:start w:val="1"/>
      <w:numFmt w:val="bullet"/>
      <w:lvlText w:val=""/>
      <w:lvlJc w:val="left"/>
      <w:pPr>
        <w:ind w:left="720" w:hanging="360"/>
      </w:pPr>
      <w:rPr>
        <w:rFonts w:ascii="Symbol" w:hAnsi="Symbol"/>
      </w:rPr>
    </w:lvl>
    <w:lvl w:ilvl="7" w:tplc="F8509EF0">
      <w:start w:val="1"/>
      <w:numFmt w:val="bullet"/>
      <w:lvlText w:val=""/>
      <w:lvlJc w:val="left"/>
      <w:pPr>
        <w:ind w:left="720" w:hanging="360"/>
      </w:pPr>
      <w:rPr>
        <w:rFonts w:ascii="Symbol" w:hAnsi="Symbol"/>
      </w:rPr>
    </w:lvl>
    <w:lvl w:ilvl="8" w:tplc="F7A4F85A">
      <w:start w:val="1"/>
      <w:numFmt w:val="bullet"/>
      <w:lvlText w:val=""/>
      <w:lvlJc w:val="left"/>
      <w:pPr>
        <w:ind w:left="720" w:hanging="360"/>
      </w:pPr>
      <w:rPr>
        <w:rFonts w:ascii="Symbol" w:hAnsi="Symbol"/>
      </w:rPr>
    </w:lvl>
  </w:abstractNum>
  <w:abstractNum w:abstractNumId="6" w15:restartNumberingAfterBreak="0">
    <w:nsid w:val="716B5734"/>
    <w:multiLevelType w:val="hybridMultilevel"/>
    <w:tmpl w:val="491E7158"/>
    <w:lvl w:ilvl="0" w:tplc="AC083228">
      <w:start w:val="1"/>
      <w:numFmt w:val="bullet"/>
      <w:lvlText w:val=""/>
      <w:lvlJc w:val="left"/>
      <w:pPr>
        <w:ind w:left="720" w:hanging="360"/>
      </w:pPr>
      <w:rPr>
        <w:rFonts w:ascii="Symbol" w:hAnsi="Symbol"/>
      </w:rPr>
    </w:lvl>
    <w:lvl w:ilvl="1" w:tplc="7CF8C0B4">
      <w:start w:val="1"/>
      <w:numFmt w:val="bullet"/>
      <w:lvlText w:val=""/>
      <w:lvlJc w:val="left"/>
      <w:pPr>
        <w:ind w:left="720" w:hanging="360"/>
      </w:pPr>
      <w:rPr>
        <w:rFonts w:ascii="Symbol" w:hAnsi="Symbol"/>
      </w:rPr>
    </w:lvl>
    <w:lvl w:ilvl="2" w:tplc="49663406">
      <w:start w:val="1"/>
      <w:numFmt w:val="bullet"/>
      <w:lvlText w:val=""/>
      <w:lvlJc w:val="left"/>
      <w:pPr>
        <w:ind w:left="720" w:hanging="360"/>
      </w:pPr>
      <w:rPr>
        <w:rFonts w:ascii="Symbol" w:hAnsi="Symbol"/>
      </w:rPr>
    </w:lvl>
    <w:lvl w:ilvl="3" w:tplc="4F722776">
      <w:start w:val="1"/>
      <w:numFmt w:val="bullet"/>
      <w:lvlText w:val=""/>
      <w:lvlJc w:val="left"/>
      <w:pPr>
        <w:ind w:left="720" w:hanging="360"/>
      </w:pPr>
      <w:rPr>
        <w:rFonts w:ascii="Symbol" w:hAnsi="Symbol"/>
      </w:rPr>
    </w:lvl>
    <w:lvl w:ilvl="4" w:tplc="1DDE4F36">
      <w:start w:val="1"/>
      <w:numFmt w:val="bullet"/>
      <w:lvlText w:val=""/>
      <w:lvlJc w:val="left"/>
      <w:pPr>
        <w:ind w:left="720" w:hanging="360"/>
      </w:pPr>
      <w:rPr>
        <w:rFonts w:ascii="Symbol" w:hAnsi="Symbol"/>
      </w:rPr>
    </w:lvl>
    <w:lvl w:ilvl="5" w:tplc="569C07F0">
      <w:start w:val="1"/>
      <w:numFmt w:val="bullet"/>
      <w:lvlText w:val=""/>
      <w:lvlJc w:val="left"/>
      <w:pPr>
        <w:ind w:left="720" w:hanging="360"/>
      </w:pPr>
      <w:rPr>
        <w:rFonts w:ascii="Symbol" w:hAnsi="Symbol"/>
      </w:rPr>
    </w:lvl>
    <w:lvl w:ilvl="6" w:tplc="D49E5EF6">
      <w:start w:val="1"/>
      <w:numFmt w:val="bullet"/>
      <w:lvlText w:val=""/>
      <w:lvlJc w:val="left"/>
      <w:pPr>
        <w:ind w:left="720" w:hanging="360"/>
      </w:pPr>
      <w:rPr>
        <w:rFonts w:ascii="Symbol" w:hAnsi="Symbol"/>
      </w:rPr>
    </w:lvl>
    <w:lvl w:ilvl="7" w:tplc="706EB326">
      <w:start w:val="1"/>
      <w:numFmt w:val="bullet"/>
      <w:lvlText w:val=""/>
      <w:lvlJc w:val="left"/>
      <w:pPr>
        <w:ind w:left="720" w:hanging="360"/>
      </w:pPr>
      <w:rPr>
        <w:rFonts w:ascii="Symbol" w:hAnsi="Symbol"/>
      </w:rPr>
    </w:lvl>
    <w:lvl w:ilvl="8" w:tplc="5B344568">
      <w:start w:val="1"/>
      <w:numFmt w:val="bullet"/>
      <w:lvlText w:val=""/>
      <w:lvlJc w:val="left"/>
      <w:pPr>
        <w:ind w:left="720" w:hanging="360"/>
      </w:pPr>
      <w:rPr>
        <w:rFonts w:ascii="Symbol" w:hAnsi="Symbol"/>
      </w:rPr>
    </w:lvl>
  </w:abstractNum>
  <w:abstractNum w:abstractNumId="7" w15:restartNumberingAfterBreak="0">
    <w:nsid w:val="790D469C"/>
    <w:multiLevelType w:val="hybridMultilevel"/>
    <w:tmpl w:val="315025EC"/>
    <w:lvl w:ilvl="0" w:tplc="25CE99F2">
      <w:start w:val="1"/>
      <w:numFmt w:val="bullet"/>
      <w:lvlText w:val=""/>
      <w:lvlJc w:val="left"/>
      <w:pPr>
        <w:ind w:left="720" w:hanging="360"/>
      </w:pPr>
      <w:rPr>
        <w:rFonts w:ascii="Symbol" w:hAnsi="Symbol"/>
      </w:rPr>
    </w:lvl>
    <w:lvl w:ilvl="1" w:tplc="45AC5918">
      <w:start w:val="1"/>
      <w:numFmt w:val="bullet"/>
      <w:lvlText w:val=""/>
      <w:lvlJc w:val="left"/>
      <w:pPr>
        <w:ind w:left="720" w:hanging="360"/>
      </w:pPr>
      <w:rPr>
        <w:rFonts w:ascii="Symbol" w:hAnsi="Symbol"/>
      </w:rPr>
    </w:lvl>
    <w:lvl w:ilvl="2" w:tplc="651A1B26">
      <w:start w:val="1"/>
      <w:numFmt w:val="bullet"/>
      <w:lvlText w:val=""/>
      <w:lvlJc w:val="left"/>
      <w:pPr>
        <w:ind w:left="720" w:hanging="360"/>
      </w:pPr>
      <w:rPr>
        <w:rFonts w:ascii="Symbol" w:hAnsi="Symbol"/>
      </w:rPr>
    </w:lvl>
    <w:lvl w:ilvl="3" w:tplc="C48A86E0">
      <w:start w:val="1"/>
      <w:numFmt w:val="bullet"/>
      <w:lvlText w:val=""/>
      <w:lvlJc w:val="left"/>
      <w:pPr>
        <w:ind w:left="720" w:hanging="360"/>
      </w:pPr>
      <w:rPr>
        <w:rFonts w:ascii="Symbol" w:hAnsi="Symbol"/>
      </w:rPr>
    </w:lvl>
    <w:lvl w:ilvl="4" w:tplc="AFF00392">
      <w:start w:val="1"/>
      <w:numFmt w:val="bullet"/>
      <w:lvlText w:val=""/>
      <w:lvlJc w:val="left"/>
      <w:pPr>
        <w:ind w:left="720" w:hanging="360"/>
      </w:pPr>
      <w:rPr>
        <w:rFonts w:ascii="Symbol" w:hAnsi="Symbol"/>
      </w:rPr>
    </w:lvl>
    <w:lvl w:ilvl="5" w:tplc="65DC28E0">
      <w:start w:val="1"/>
      <w:numFmt w:val="bullet"/>
      <w:lvlText w:val=""/>
      <w:lvlJc w:val="left"/>
      <w:pPr>
        <w:ind w:left="720" w:hanging="360"/>
      </w:pPr>
      <w:rPr>
        <w:rFonts w:ascii="Symbol" w:hAnsi="Symbol"/>
      </w:rPr>
    </w:lvl>
    <w:lvl w:ilvl="6" w:tplc="A7EA6586">
      <w:start w:val="1"/>
      <w:numFmt w:val="bullet"/>
      <w:lvlText w:val=""/>
      <w:lvlJc w:val="left"/>
      <w:pPr>
        <w:ind w:left="720" w:hanging="360"/>
      </w:pPr>
      <w:rPr>
        <w:rFonts w:ascii="Symbol" w:hAnsi="Symbol"/>
      </w:rPr>
    </w:lvl>
    <w:lvl w:ilvl="7" w:tplc="520C1C82">
      <w:start w:val="1"/>
      <w:numFmt w:val="bullet"/>
      <w:lvlText w:val=""/>
      <w:lvlJc w:val="left"/>
      <w:pPr>
        <w:ind w:left="720" w:hanging="360"/>
      </w:pPr>
      <w:rPr>
        <w:rFonts w:ascii="Symbol" w:hAnsi="Symbol"/>
      </w:rPr>
    </w:lvl>
    <w:lvl w:ilvl="8" w:tplc="0372859A">
      <w:start w:val="1"/>
      <w:numFmt w:val="bullet"/>
      <w:lvlText w:val=""/>
      <w:lvlJc w:val="left"/>
      <w:pPr>
        <w:ind w:left="720" w:hanging="360"/>
      </w:pPr>
      <w:rPr>
        <w:rFonts w:ascii="Symbol" w:hAnsi="Symbol"/>
      </w:rPr>
    </w:lvl>
  </w:abstractNum>
  <w:num w:numId="1" w16cid:durableId="105780992">
    <w:abstractNumId w:val="0"/>
  </w:num>
  <w:num w:numId="2" w16cid:durableId="1665740843">
    <w:abstractNumId w:val="7"/>
  </w:num>
  <w:num w:numId="3" w16cid:durableId="960301920">
    <w:abstractNumId w:val="2"/>
  </w:num>
  <w:num w:numId="4" w16cid:durableId="262153477">
    <w:abstractNumId w:val="5"/>
  </w:num>
  <w:num w:numId="5" w16cid:durableId="2080014322">
    <w:abstractNumId w:val="1"/>
  </w:num>
  <w:num w:numId="6" w16cid:durableId="2119372860">
    <w:abstractNumId w:val="6"/>
  </w:num>
  <w:num w:numId="7" w16cid:durableId="1168785811">
    <w:abstractNumId w:val="4"/>
  </w:num>
  <w:num w:numId="8" w16cid:durableId="2406077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vor Drees">
    <w15:presenceInfo w15:providerId="Windows Live" w15:userId="e4666eeaa5b7951d"/>
  </w15:person>
  <w15:person w15:author="Shea, Katriona">
    <w15:presenceInfo w15:providerId="AD" w15:userId="S::kus3@psu.edu::4f61b47b-7e2f-4101-890b-e3a900e202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05"/>
    <w:rsid w:val="0000049E"/>
    <w:rsid w:val="00003266"/>
    <w:rsid w:val="0000648F"/>
    <w:rsid w:val="00007879"/>
    <w:rsid w:val="000136BE"/>
    <w:rsid w:val="000141E4"/>
    <w:rsid w:val="000149C7"/>
    <w:rsid w:val="00016124"/>
    <w:rsid w:val="000174F0"/>
    <w:rsid w:val="0002007B"/>
    <w:rsid w:val="000220D8"/>
    <w:rsid w:val="00023951"/>
    <w:rsid w:val="00025242"/>
    <w:rsid w:val="000254AF"/>
    <w:rsid w:val="000255A9"/>
    <w:rsid w:val="00026EDA"/>
    <w:rsid w:val="000300DF"/>
    <w:rsid w:val="00030205"/>
    <w:rsid w:val="00030F38"/>
    <w:rsid w:val="00032CAB"/>
    <w:rsid w:val="000339AE"/>
    <w:rsid w:val="00033F4B"/>
    <w:rsid w:val="000517BB"/>
    <w:rsid w:val="000532C2"/>
    <w:rsid w:val="00055979"/>
    <w:rsid w:val="00056D12"/>
    <w:rsid w:val="00056E44"/>
    <w:rsid w:val="000609F9"/>
    <w:rsid w:val="00063DAC"/>
    <w:rsid w:val="000641A9"/>
    <w:rsid w:val="0006481B"/>
    <w:rsid w:val="00064E0D"/>
    <w:rsid w:val="00066D6F"/>
    <w:rsid w:val="00070DE4"/>
    <w:rsid w:val="00071C41"/>
    <w:rsid w:val="00072FAF"/>
    <w:rsid w:val="00072FF3"/>
    <w:rsid w:val="0007387E"/>
    <w:rsid w:val="0007791E"/>
    <w:rsid w:val="00081CA7"/>
    <w:rsid w:val="000835FC"/>
    <w:rsid w:val="00084136"/>
    <w:rsid w:val="00084BB8"/>
    <w:rsid w:val="000864D2"/>
    <w:rsid w:val="000A1316"/>
    <w:rsid w:val="000C01D9"/>
    <w:rsid w:val="000C1357"/>
    <w:rsid w:val="000C3469"/>
    <w:rsid w:val="000C51B8"/>
    <w:rsid w:val="000C6EBF"/>
    <w:rsid w:val="000D06B2"/>
    <w:rsid w:val="000D13A8"/>
    <w:rsid w:val="000D4872"/>
    <w:rsid w:val="000D575A"/>
    <w:rsid w:val="000D6FE5"/>
    <w:rsid w:val="000D78EE"/>
    <w:rsid w:val="000E44AB"/>
    <w:rsid w:val="000E45E7"/>
    <w:rsid w:val="000E56A9"/>
    <w:rsid w:val="000E74F1"/>
    <w:rsid w:val="000E79E9"/>
    <w:rsid w:val="000F03E5"/>
    <w:rsid w:val="000F0B0A"/>
    <w:rsid w:val="000F46B0"/>
    <w:rsid w:val="000F50F2"/>
    <w:rsid w:val="000F7347"/>
    <w:rsid w:val="00100B76"/>
    <w:rsid w:val="00105F06"/>
    <w:rsid w:val="00107DD0"/>
    <w:rsid w:val="00111153"/>
    <w:rsid w:val="00111FC3"/>
    <w:rsid w:val="00112F4C"/>
    <w:rsid w:val="00113075"/>
    <w:rsid w:val="00113252"/>
    <w:rsid w:val="00122D3D"/>
    <w:rsid w:val="001246EB"/>
    <w:rsid w:val="00125805"/>
    <w:rsid w:val="00130B96"/>
    <w:rsid w:val="001317F8"/>
    <w:rsid w:val="00140BAF"/>
    <w:rsid w:val="00141D3E"/>
    <w:rsid w:val="00141DD8"/>
    <w:rsid w:val="001421E3"/>
    <w:rsid w:val="001436B3"/>
    <w:rsid w:val="00143B71"/>
    <w:rsid w:val="00144AC3"/>
    <w:rsid w:val="001451E3"/>
    <w:rsid w:val="00145723"/>
    <w:rsid w:val="00151AFF"/>
    <w:rsid w:val="001531C7"/>
    <w:rsid w:val="001531DD"/>
    <w:rsid w:val="0015495B"/>
    <w:rsid w:val="00161911"/>
    <w:rsid w:val="00161C1A"/>
    <w:rsid w:val="00163EC3"/>
    <w:rsid w:val="00166153"/>
    <w:rsid w:val="0016692A"/>
    <w:rsid w:val="001722B9"/>
    <w:rsid w:val="0017303B"/>
    <w:rsid w:val="0017358A"/>
    <w:rsid w:val="00176994"/>
    <w:rsid w:val="001769F5"/>
    <w:rsid w:val="00177840"/>
    <w:rsid w:val="001840B4"/>
    <w:rsid w:val="00186BDE"/>
    <w:rsid w:val="00193C45"/>
    <w:rsid w:val="00195A5A"/>
    <w:rsid w:val="001A1046"/>
    <w:rsid w:val="001A1961"/>
    <w:rsid w:val="001A3E6D"/>
    <w:rsid w:val="001A5B57"/>
    <w:rsid w:val="001B0285"/>
    <w:rsid w:val="001B40D1"/>
    <w:rsid w:val="001C59E2"/>
    <w:rsid w:val="001C6C66"/>
    <w:rsid w:val="001C7D80"/>
    <w:rsid w:val="001D0565"/>
    <w:rsid w:val="001D0874"/>
    <w:rsid w:val="001D3337"/>
    <w:rsid w:val="001D421E"/>
    <w:rsid w:val="001E25F7"/>
    <w:rsid w:val="001E2A12"/>
    <w:rsid w:val="001E3259"/>
    <w:rsid w:val="001E7B71"/>
    <w:rsid w:val="001E7B75"/>
    <w:rsid w:val="001F02FF"/>
    <w:rsid w:val="001F0C8F"/>
    <w:rsid w:val="001F10CE"/>
    <w:rsid w:val="001F3015"/>
    <w:rsid w:val="001F36FB"/>
    <w:rsid w:val="0020029B"/>
    <w:rsid w:val="00202733"/>
    <w:rsid w:val="0020666A"/>
    <w:rsid w:val="002073DE"/>
    <w:rsid w:val="002074D0"/>
    <w:rsid w:val="00213382"/>
    <w:rsid w:val="00215329"/>
    <w:rsid w:val="00215CBC"/>
    <w:rsid w:val="00216E6F"/>
    <w:rsid w:val="00217A11"/>
    <w:rsid w:val="002239A3"/>
    <w:rsid w:val="00223C5F"/>
    <w:rsid w:val="002253F8"/>
    <w:rsid w:val="0022546D"/>
    <w:rsid w:val="00226FD9"/>
    <w:rsid w:val="002274A4"/>
    <w:rsid w:val="0022795F"/>
    <w:rsid w:val="00227E93"/>
    <w:rsid w:val="00230B60"/>
    <w:rsid w:val="0023482A"/>
    <w:rsid w:val="00237AB8"/>
    <w:rsid w:val="00240DCD"/>
    <w:rsid w:val="00241794"/>
    <w:rsid w:val="002424E9"/>
    <w:rsid w:val="00242A8F"/>
    <w:rsid w:val="002467C6"/>
    <w:rsid w:val="00253163"/>
    <w:rsid w:val="0025381A"/>
    <w:rsid w:val="00253E04"/>
    <w:rsid w:val="00254DBF"/>
    <w:rsid w:val="00255598"/>
    <w:rsid w:val="00264E3D"/>
    <w:rsid w:val="002658AC"/>
    <w:rsid w:val="00266075"/>
    <w:rsid w:val="0026673F"/>
    <w:rsid w:val="00267313"/>
    <w:rsid w:val="002731F4"/>
    <w:rsid w:val="00282712"/>
    <w:rsid w:val="0028464B"/>
    <w:rsid w:val="00290FEE"/>
    <w:rsid w:val="00292C03"/>
    <w:rsid w:val="00295E72"/>
    <w:rsid w:val="00297B71"/>
    <w:rsid w:val="002A6C23"/>
    <w:rsid w:val="002B11DD"/>
    <w:rsid w:val="002B55B0"/>
    <w:rsid w:val="002B7317"/>
    <w:rsid w:val="002C1AAB"/>
    <w:rsid w:val="002C7102"/>
    <w:rsid w:val="002D0E86"/>
    <w:rsid w:val="002D1E6D"/>
    <w:rsid w:val="002D2387"/>
    <w:rsid w:val="002D2395"/>
    <w:rsid w:val="002D7E2A"/>
    <w:rsid w:val="002E0717"/>
    <w:rsid w:val="002E0868"/>
    <w:rsid w:val="002E3CED"/>
    <w:rsid w:val="002E561C"/>
    <w:rsid w:val="002F2B19"/>
    <w:rsid w:val="002F2D17"/>
    <w:rsid w:val="002F2DE7"/>
    <w:rsid w:val="002F2E21"/>
    <w:rsid w:val="002F4A0D"/>
    <w:rsid w:val="002F4F3A"/>
    <w:rsid w:val="002F6257"/>
    <w:rsid w:val="003005A0"/>
    <w:rsid w:val="00301546"/>
    <w:rsid w:val="00315922"/>
    <w:rsid w:val="003202DB"/>
    <w:rsid w:val="0032043C"/>
    <w:rsid w:val="00320550"/>
    <w:rsid w:val="00322A65"/>
    <w:rsid w:val="00325189"/>
    <w:rsid w:val="003263AF"/>
    <w:rsid w:val="003326B4"/>
    <w:rsid w:val="003331F7"/>
    <w:rsid w:val="00335AC9"/>
    <w:rsid w:val="003402AF"/>
    <w:rsid w:val="00340628"/>
    <w:rsid w:val="00346A53"/>
    <w:rsid w:val="00347E68"/>
    <w:rsid w:val="003514FB"/>
    <w:rsid w:val="00351E3F"/>
    <w:rsid w:val="003534F4"/>
    <w:rsid w:val="0035529E"/>
    <w:rsid w:val="003556A8"/>
    <w:rsid w:val="0035621E"/>
    <w:rsid w:val="0036465C"/>
    <w:rsid w:val="00365C6E"/>
    <w:rsid w:val="0037338E"/>
    <w:rsid w:val="00374374"/>
    <w:rsid w:val="00374C55"/>
    <w:rsid w:val="00375013"/>
    <w:rsid w:val="003758B4"/>
    <w:rsid w:val="00375A42"/>
    <w:rsid w:val="00375BC2"/>
    <w:rsid w:val="00377081"/>
    <w:rsid w:val="0037758E"/>
    <w:rsid w:val="00385E0C"/>
    <w:rsid w:val="00387BA8"/>
    <w:rsid w:val="0039091F"/>
    <w:rsid w:val="00390D3A"/>
    <w:rsid w:val="00394968"/>
    <w:rsid w:val="00394F58"/>
    <w:rsid w:val="00395A1F"/>
    <w:rsid w:val="00396794"/>
    <w:rsid w:val="00396A10"/>
    <w:rsid w:val="00396A97"/>
    <w:rsid w:val="003A08BC"/>
    <w:rsid w:val="003A11D4"/>
    <w:rsid w:val="003A2024"/>
    <w:rsid w:val="003A7441"/>
    <w:rsid w:val="003B21A1"/>
    <w:rsid w:val="003B37F3"/>
    <w:rsid w:val="003B5DA6"/>
    <w:rsid w:val="003B604A"/>
    <w:rsid w:val="003B64A5"/>
    <w:rsid w:val="003C7A3F"/>
    <w:rsid w:val="003C7BD8"/>
    <w:rsid w:val="003D3274"/>
    <w:rsid w:val="003D4368"/>
    <w:rsid w:val="003D7406"/>
    <w:rsid w:val="003D7F62"/>
    <w:rsid w:val="003E1637"/>
    <w:rsid w:val="003E2D12"/>
    <w:rsid w:val="003E3D53"/>
    <w:rsid w:val="003E461F"/>
    <w:rsid w:val="003E5BF0"/>
    <w:rsid w:val="003E6FAA"/>
    <w:rsid w:val="003F0B49"/>
    <w:rsid w:val="003F1D15"/>
    <w:rsid w:val="003F573A"/>
    <w:rsid w:val="003F7586"/>
    <w:rsid w:val="003F7587"/>
    <w:rsid w:val="00400E5A"/>
    <w:rsid w:val="00401510"/>
    <w:rsid w:val="0040537B"/>
    <w:rsid w:val="004107DD"/>
    <w:rsid w:val="0041092C"/>
    <w:rsid w:val="00411757"/>
    <w:rsid w:val="00413CE7"/>
    <w:rsid w:val="00414A4E"/>
    <w:rsid w:val="00416102"/>
    <w:rsid w:val="004174DB"/>
    <w:rsid w:val="004238AB"/>
    <w:rsid w:val="0042620F"/>
    <w:rsid w:val="00426DA6"/>
    <w:rsid w:val="00431FE4"/>
    <w:rsid w:val="004330B7"/>
    <w:rsid w:val="00435DD5"/>
    <w:rsid w:val="00440464"/>
    <w:rsid w:val="0044459A"/>
    <w:rsid w:val="00444648"/>
    <w:rsid w:val="00444D3D"/>
    <w:rsid w:val="004465B7"/>
    <w:rsid w:val="00451D4C"/>
    <w:rsid w:val="004526D2"/>
    <w:rsid w:val="00454D05"/>
    <w:rsid w:val="004551EA"/>
    <w:rsid w:val="0046106D"/>
    <w:rsid w:val="0046198D"/>
    <w:rsid w:val="00465C24"/>
    <w:rsid w:val="0047182E"/>
    <w:rsid w:val="004721EE"/>
    <w:rsid w:val="00472A8F"/>
    <w:rsid w:val="00473CA1"/>
    <w:rsid w:val="00483561"/>
    <w:rsid w:val="00484790"/>
    <w:rsid w:val="00485FA9"/>
    <w:rsid w:val="004860BC"/>
    <w:rsid w:val="00491F7B"/>
    <w:rsid w:val="004920E0"/>
    <w:rsid w:val="0049382B"/>
    <w:rsid w:val="004A185C"/>
    <w:rsid w:val="004A1932"/>
    <w:rsid w:val="004B0963"/>
    <w:rsid w:val="004B44A8"/>
    <w:rsid w:val="004C16B4"/>
    <w:rsid w:val="004C2241"/>
    <w:rsid w:val="004C56A3"/>
    <w:rsid w:val="004C7605"/>
    <w:rsid w:val="004C786F"/>
    <w:rsid w:val="004C7AB1"/>
    <w:rsid w:val="004C7C86"/>
    <w:rsid w:val="004D04F6"/>
    <w:rsid w:val="004D3DE6"/>
    <w:rsid w:val="004D6D8C"/>
    <w:rsid w:val="004E5D7E"/>
    <w:rsid w:val="004F2470"/>
    <w:rsid w:val="004F37CC"/>
    <w:rsid w:val="004F3A15"/>
    <w:rsid w:val="004F4059"/>
    <w:rsid w:val="004F496A"/>
    <w:rsid w:val="004F5B65"/>
    <w:rsid w:val="004F6724"/>
    <w:rsid w:val="00501508"/>
    <w:rsid w:val="005023F1"/>
    <w:rsid w:val="00504DC2"/>
    <w:rsid w:val="00514CA6"/>
    <w:rsid w:val="00514E10"/>
    <w:rsid w:val="00515C0A"/>
    <w:rsid w:val="00515F28"/>
    <w:rsid w:val="0052077A"/>
    <w:rsid w:val="00523D85"/>
    <w:rsid w:val="00525EC3"/>
    <w:rsid w:val="00526B98"/>
    <w:rsid w:val="00530388"/>
    <w:rsid w:val="00530398"/>
    <w:rsid w:val="005317F8"/>
    <w:rsid w:val="0053584F"/>
    <w:rsid w:val="00535993"/>
    <w:rsid w:val="00536C57"/>
    <w:rsid w:val="00541ED9"/>
    <w:rsid w:val="0054300B"/>
    <w:rsid w:val="00543FD8"/>
    <w:rsid w:val="00544177"/>
    <w:rsid w:val="00551735"/>
    <w:rsid w:val="00552D12"/>
    <w:rsid w:val="00553551"/>
    <w:rsid w:val="0055496B"/>
    <w:rsid w:val="00556312"/>
    <w:rsid w:val="0055741F"/>
    <w:rsid w:val="0056188E"/>
    <w:rsid w:val="00563520"/>
    <w:rsid w:val="00563686"/>
    <w:rsid w:val="00564C7C"/>
    <w:rsid w:val="005709D2"/>
    <w:rsid w:val="005727A6"/>
    <w:rsid w:val="00574A0F"/>
    <w:rsid w:val="00574C67"/>
    <w:rsid w:val="00574CF3"/>
    <w:rsid w:val="005752F3"/>
    <w:rsid w:val="00583C42"/>
    <w:rsid w:val="0058576D"/>
    <w:rsid w:val="00585BE9"/>
    <w:rsid w:val="005876E4"/>
    <w:rsid w:val="00592633"/>
    <w:rsid w:val="00592812"/>
    <w:rsid w:val="00594DBB"/>
    <w:rsid w:val="00596485"/>
    <w:rsid w:val="005A08B9"/>
    <w:rsid w:val="005A129B"/>
    <w:rsid w:val="005A5766"/>
    <w:rsid w:val="005A7962"/>
    <w:rsid w:val="005B0E2C"/>
    <w:rsid w:val="005B0F1B"/>
    <w:rsid w:val="005B69F9"/>
    <w:rsid w:val="005C44FC"/>
    <w:rsid w:val="005C4A65"/>
    <w:rsid w:val="005C5C43"/>
    <w:rsid w:val="005C7838"/>
    <w:rsid w:val="005D0304"/>
    <w:rsid w:val="005D0834"/>
    <w:rsid w:val="005D2365"/>
    <w:rsid w:val="005D5BB3"/>
    <w:rsid w:val="005D709F"/>
    <w:rsid w:val="005E01A9"/>
    <w:rsid w:val="005E0BA9"/>
    <w:rsid w:val="005F11B0"/>
    <w:rsid w:val="005F1E15"/>
    <w:rsid w:val="005F23BA"/>
    <w:rsid w:val="005F27F5"/>
    <w:rsid w:val="005F2C1D"/>
    <w:rsid w:val="005F2F44"/>
    <w:rsid w:val="005F3A6D"/>
    <w:rsid w:val="005F3B84"/>
    <w:rsid w:val="005F70E5"/>
    <w:rsid w:val="005F7BAC"/>
    <w:rsid w:val="005F7EB8"/>
    <w:rsid w:val="0060194C"/>
    <w:rsid w:val="00601C2A"/>
    <w:rsid w:val="0060390C"/>
    <w:rsid w:val="00605925"/>
    <w:rsid w:val="00605F7B"/>
    <w:rsid w:val="00607F4B"/>
    <w:rsid w:val="00615782"/>
    <w:rsid w:val="00622D8D"/>
    <w:rsid w:val="00624B4A"/>
    <w:rsid w:val="00624E98"/>
    <w:rsid w:val="0062545A"/>
    <w:rsid w:val="00625D1D"/>
    <w:rsid w:val="0063176E"/>
    <w:rsid w:val="00631B55"/>
    <w:rsid w:val="0063415A"/>
    <w:rsid w:val="0063571F"/>
    <w:rsid w:val="00636779"/>
    <w:rsid w:val="00642218"/>
    <w:rsid w:val="00643B5F"/>
    <w:rsid w:val="0064500D"/>
    <w:rsid w:val="0065079B"/>
    <w:rsid w:val="0065340B"/>
    <w:rsid w:val="00654FC7"/>
    <w:rsid w:val="00656705"/>
    <w:rsid w:val="00660F76"/>
    <w:rsid w:val="00661A9E"/>
    <w:rsid w:val="00661F84"/>
    <w:rsid w:val="00665287"/>
    <w:rsid w:val="0067248D"/>
    <w:rsid w:val="0067412B"/>
    <w:rsid w:val="00675BEC"/>
    <w:rsid w:val="00676453"/>
    <w:rsid w:val="006803EA"/>
    <w:rsid w:val="00680F77"/>
    <w:rsid w:val="00681DA2"/>
    <w:rsid w:val="00682EB7"/>
    <w:rsid w:val="0068349E"/>
    <w:rsid w:val="006913FE"/>
    <w:rsid w:val="00695D1A"/>
    <w:rsid w:val="006A0C21"/>
    <w:rsid w:val="006A10EA"/>
    <w:rsid w:val="006A6D70"/>
    <w:rsid w:val="006A6E9B"/>
    <w:rsid w:val="006A7166"/>
    <w:rsid w:val="006A7CAE"/>
    <w:rsid w:val="006B061A"/>
    <w:rsid w:val="006B1630"/>
    <w:rsid w:val="006B256C"/>
    <w:rsid w:val="006B69AD"/>
    <w:rsid w:val="006C1A80"/>
    <w:rsid w:val="006C1CAD"/>
    <w:rsid w:val="006C289C"/>
    <w:rsid w:val="006C3EDF"/>
    <w:rsid w:val="006C4828"/>
    <w:rsid w:val="006C4F48"/>
    <w:rsid w:val="006C54BE"/>
    <w:rsid w:val="006C65BA"/>
    <w:rsid w:val="006D0BB9"/>
    <w:rsid w:val="006D110C"/>
    <w:rsid w:val="006D1881"/>
    <w:rsid w:val="006D3968"/>
    <w:rsid w:val="006D3994"/>
    <w:rsid w:val="006D4CBE"/>
    <w:rsid w:val="006D5B49"/>
    <w:rsid w:val="006D6780"/>
    <w:rsid w:val="006E1C4E"/>
    <w:rsid w:val="006E1D5B"/>
    <w:rsid w:val="006E48FE"/>
    <w:rsid w:val="006E6F69"/>
    <w:rsid w:val="006F55AA"/>
    <w:rsid w:val="006F56D9"/>
    <w:rsid w:val="006F5F35"/>
    <w:rsid w:val="006F6C16"/>
    <w:rsid w:val="006F7151"/>
    <w:rsid w:val="00700992"/>
    <w:rsid w:val="007009AA"/>
    <w:rsid w:val="00701774"/>
    <w:rsid w:val="0070466A"/>
    <w:rsid w:val="00714505"/>
    <w:rsid w:val="007171B3"/>
    <w:rsid w:val="00720983"/>
    <w:rsid w:val="00721291"/>
    <w:rsid w:val="007237DF"/>
    <w:rsid w:val="00730B7B"/>
    <w:rsid w:val="00737607"/>
    <w:rsid w:val="00744D3B"/>
    <w:rsid w:val="0074509C"/>
    <w:rsid w:val="00746F3C"/>
    <w:rsid w:val="007507C8"/>
    <w:rsid w:val="00752D54"/>
    <w:rsid w:val="00753C9C"/>
    <w:rsid w:val="00755EE9"/>
    <w:rsid w:val="0075750F"/>
    <w:rsid w:val="007575B3"/>
    <w:rsid w:val="007676DF"/>
    <w:rsid w:val="007716B9"/>
    <w:rsid w:val="00771F82"/>
    <w:rsid w:val="00772534"/>
    <w:rsid w:val="007734AF"/>
    <w:rsid w:val="00775CF8"/>
    <w:rsid w:val="00775D93"/>
    <w:rsid w:val="00777FFD"/>
    <w:rsid w:val="00781D08"/>
    <w:rsid w:val="00782253"/>
    <w:rsid w:val="0078283E"/>
    <w:rsid w:val="007831EE"/>
    <w:rsid w:val="00786122"/>
    <w:rsid w:val="00790DF0"/>
    <w:rsid w:val="00792FE3"/>
    <w:rsid w:val="00793561"/>
    <w:rsid w:val="00793A7A"/>
    <w:rsid w:val="00795294"/>
    <w:rsid w:val="0079532C"/>
    <w:rsid w:val="007A360C"/>
    <w:rsid w:val="007A6419"/>
    <w:rsid w:val="007A649D"/>
    <w:rsid w:val="007B0BE0"/>
    <w:rsid w:val="007B503E"/>
    <w:rsid w:val="007B5495"/>
    <w:rsid w:val="007B6893"/>
    <w:rsid w:val="007C10C8"/>
    <w:rsid w:val="007C37E3"/>
    <w:rsid w:val="007C59D9"/>
    <w:rsid w:val="007D7168"/>
    <w:rsid w:val="007E03B8"/>
    <w:rsid w:val="007E19BC"/>
    <w:rsid w:val="007E2E43"/>
    <w:rsid w:val="007E470C"/>
    <w:rsid w:val="007E4E50"/>
    <w:rsid w:val="007E6FFF"/>
    <w:rsid w:val="007F155D"/>
    <w:rsid w:val="007F3BEA"/>
    <w:rsid w:val="007F3F11"/>
    <w:rsid w:val="007F461D"/>
    <w:rsid w:val="007F5339"/>
    <w:rsid w:val="007F63B2"/>
    <w:rsid w:val="0080292A"/>
    <w:rsid w:val="00803FC4"/>
    <w:rsid w:val="00804352"/>
    <w:rsid w:val="00810651"/>
    <w:rsid w:val="00810AB6"/>
    <w:rsid w:val="00814071"/>
    <w:rsid w:val="00823D22"/>
    <w:rsid w:val="00833548"/>
    <w:rsid w:val="00834303"/>
    <w:rsid w:val="00834C6E"/>
    <w:rsid w:val="0083567A"/>
    <w:rsid w:val="00842009"/>
    <w:rsid w:val="00844255"/>
    <w:rsid w:val="0084436C"/>
    <w:rsid w:val="00847EBE"/>
    <w:rsid w:val="00851F41"/>
    <w:rsid w:val="00852643"/>
    <w:rsid w:val="00854A92"/>
    <w:rsid w:val="008553F7"/>
    <w:rsid w:val="0085648A"/>
    <w:rsid w:val="0085657F"/>
    <w:rsid w:val="008615D2"/>
    <w:rsid w:val="0086190D"/>
    <w:rsid w:val="00863EBF"/>
    <w:rsid w:val="00867ABF"/>
    <w:rsid w:val="008701B1"/>
    <w:rsid w:val="00876AC6"/>
    <w:rsid w:val="008813A6"/>
    <w:rsid w:val="008813D2"/>
    <w:rsid w:val="00881738"/>
    <w:rsid w:val="00885262"/>
    <w:rsid w:val="00885F6C"/>
    <w:rsid w:val="00886DC8"/>
    <w:rsid w:val="00886EED"/>
    <w:rsid w:val="008915AB"/>
    <w:rsid w:val="008944F8"/>
    <w:rsid w:val="008961F4"/>
    <w:rsid w:val="008966B2"/>
    <w:rsid w:val="00897C2F"/>
    <w:rsid w:val="008A1756"/>
    <w:rsid w:val="008A4BA5"/>
    <w:rsid w:val="008B35DB"/>
    <w:rsid w:val="008B5AE2"/>
    <w:rsid w:val="008B6D68"/>
    <w:rsid w:val="008C0BFA"/>
    <w:rsid w:val="008C2FB6"/>
    <w:rsid w:val="008C6E90"/>
    <w:rsid w:val="008D0868"/>
    <w:rsid w:val="008D1223"/>
    <w:rsid w:val="008D62B4"/>
    <w:rsid w:val="008D796B"/>
    <w:rsid w:val="008E0373"/>
    <w:rsid w:val="008F1E82"/>
    <w:rsid w:val="008F30DC"/>
    <w:rsid w:val="008F32CF"/>
    <w:rsid w:val="008F3E51"/>
    <w:rsid w:val="008F4439"/>
    <w:rsid w:val="008F57DF"/>
    <w:rsid w:val="00901A9A"/>
    <w:rsid w:val="00903C07"/>
    <w:rsid w:val="00904A83"/>
    <w:rsid w:val="00912A3D"/>
    <w:rsid w:val="00912AFB"/>
    <w:rsid w:val="009150E2"/>
    <w:rsid w:val="0091549C"/>
    <w:rsid w:val="00915847"/>
    <w:rsid w:val="00915A0A"/>
    <w:rsid w:val="00916BBA"/>
    <w:rsid w:val="00925825"/>
    <w:rsid w:val="00926060"/>
    <w:rsid w:val="0092712A"/>
    <w:rsid w:val="0093143D"/>
    <w:rsid w:val="00932CE5"/>
    <w:rsid w:val="009331B5"/>
    <w:rsid w:val="00933C7F"/>
    <w:rsid w:val="00935766"/>
    <w:rsid w:val="00936C0D"/>
    <w:rsid w:val="00942ED8"/>
    <w:rsid w:val="0094435A"/>
    <w:rsid w:val="00944368"/>
    <w:rsid w:val="00945E50"/>
    <w:rsid w:val="00946CFC"/>
    <w:rsid w:val="0095584B"/>
    <w:rsid w:val="00957A64"/>
    <w:rsid w:val="009604EB"/>
    <w:rsid w:val="00962020"/>
    <w:rsid w:val="00962565"/>
    <w:rsid w:val="00964041"/>
    <w:rsid w:val="0096689F"/>
    <w:rsid w:val="00967E7D"/>
    <w:rsid w:val="00971A21"/>
    <w:rsid w:val="00972C75"/>
    <w:rsid w:val="00977E40"/>
    <w:rsid w:val="00980AB0"/>
    <w:rsid w:val="00982D6E"/>
    <w:rsid w:val="00982F85"/>
    <w:rsid w:val="009908AA"/>
    <w:rsid w:val="00991A4C"/>
    <w:rsid w:val="00993101"/>
    <w:rsid w:val="00993DF3"/>
    <w:rsid w:val="0099468A"/>
    <w:rsid w:val="009953D2"/>
    <w:rsid w:val="00995C5F"/>
    <w:rsid w:val="00996625"/>
    <w:rsid w:val="009A03BB"/>
    <w:rsid w:val="009A0457"/>
    <w:rsid w:val="009A06A9"/>
    <w:rsid w:val="009A3EA3"/>
    <w:rsid w:val="009B239E"/>
    <w:rsid w:val="009B2EC8"/>
    <w:rsid w:val="009B5233"/>
    <w:rsid w:val="009B5BBD"/>
    <w:rsid w:val="009C1FCD"/>
    <w:rsid w:val="009C2D93"/>
    <w:rsid w:val="009C3173"/>
    <w:rsid w:val="009C7CBB"/>
    <w:rsid w:val="009D131B"/>
    <w:rsid w:val="009D151D"/>
    <w:rsid w:val="009D50C5"/>
    <w:rsid w:val="009D5F04"/>
    <w:rsid w:val="009D6B62"/>
    <w:rsid w:val="009D7044"/>
    <w:rsid w:val="009D7CFE"/>
    <w:rsid w:val="009D7F45"/>
    <w:rsid w:val="009E3160"/>
    <w:rsid w:val="009E3BEC"/>
    <w:rsid w:val="009E4B57"/>
    <w:rsid w:val="009E5A70"/>
    <w:rsid w:val="009F72E1"/>
    <w:rsid w:val="009F75D0"/>
    <w:rsid w:val="009F79FF"/>
    <w:rsid w:val="00A002E0"/>
    <w:rsid w:val="00A0067A"/>
    <w:rsid w:val="00A060CB"/>
    <w:rsid w:val="00A11298"/>
    <w:rsid w:val="00A13166"/>
    <w:rsid w:val="00A13E9F"/>
    <w:rsid w:val="00A154A2"/>
    <w:rsid w:val="00A2128B"/>
    <w:rsid w:val="00A2154B"/>
    <w:rsid w:val="00A2274C"/>
    <w:rsid w:val="00A22818"/>
    <w:rsid w:val="00A24CC4"/>
    <w:rsid w:val="00A3157E"/>
    <w:rsid w:val="00A334BD"/>
    <w:rsid w:val="00A34344"/>
    <w:rsid w:val="00A34411"/>
    <w:rsid w:val="00A35945"/>
    <w:rsid w:val="00A35AA4"/>
    <w:rsid w:val="00A4558C"/>
    <w:rsid w:val="00A518DF"/>
    <w:rsid w:val="00A53067"/>
    <w:rsid w:val="00A541CF"/>
    <w:rsid w:val="00A55B01"/>
    <w:rsid w:val="00A567F7"/>
    <w:rsid w:val="00A57FBD"/>
    <w:rsid w:val="00A619E6"/>
    <w:rsid w:val="00A61D95"/>
    <w:rsid w:val="00A62C4A"/>
    <w:rsid w:val="00A651A5"/>
    <w:rsid w:val="00A67CF6"/>
    <w:rsid w:val="00A711F2"/>
    <w:rsid w:val="00A739D7"/>
    <w:rsid w:val="00A7444F"/>
    <w:rsid w:val="00A810FC"/>
    <w:rsid w:val="00A8346F"/>
    <w:rsid w:val="00A87098"/>
    <w:rsid w:val="00A95848"/>
    <w:rsid w:val="00A95AA8"/>
    <w:rsid w:val="00A960CA"/>
    <w:rsid w:val="00A96795"/>
    <w:rsid w:val="00A96B5F"/>
    <w:rsid w:val="00AA3FCD"/>
    <w:rsid w:val="00AA4E73"/>
    <w:rsid w:val="00AA5F9C"/>
    <w:rsid w:val="00AA7387"/>
    <w:rsid w:val="00AB04F0"/>
    <w:rsid w:val="00AB3909"/>
    <w:rsid w:val="00AB5620"/>
    <w:rsid w:val="00AC2E80"/>
    <w:rsid w:val="00AC4A67"/>
    <w:rsid w:val="00AD08E9"/>
    <w:rsid w:val="00AD19CB"/>
    <w:rsid w:val="00AD1EE2"/>
    <w:rsid w:val="00AE5647"/>
    <w:rsid w:val="00AF098E"/>
    <w:rsid w:val="00AF0C2A"/>
    <w:rsid w:val="00AF12DA"/>
    <w:rsid w:val="00AF157C"/>
    <w:rsid w:val="00AF16AD"/>
    <w:rsid w:val="00AF457B"/>
    <w:rsid w:val="00AF6F0C"/>
    <w:rsid w:val="00B024D2"/>
    <w:rsid w:val="00B061B7"/>
    <w:rsid w:val="00B11EFA"/>
    <w:rsid w:val="00B122D4"/>
    <w:rsid w:val="00B124CD"/>
    <w:rsid w:val="00B139BE"/>
    <w:rsid w:val="00B17AC6"/>
    <w:rsid w:val="00B25251"/>
    <w:rsid w:val="00B259F8"/>
    <w:rsid w:val="00B25BCF"/>
    <w:rsid w:val="00B3693B"/>
    <w:rsid w:val="00B36BAB"/>
    <w:rsid w:val="00B3725F"/>
    <w:rsid w:val="00B437A9"/>
    <w:rsid w:val="00B455BE"/>
    <w:rsid w:val="00B467EB"/>
    <w:rsid w:val="00B512F8"/>
    <w:rsid w:val="00B55110"/>
    <w:rsid w:val="00B55421"/>
    <w:rsid w:val="00B62ED9"/>
    <w:rsid w:val="00B65548"/>
    <w:rsid w:val="00B66545"/>
    <w:rsid w:val="00B7172D"/>
    <w:rsid w:val="00B72DCA"/>
    <w:rsid w:val="00B737F0"/>
    <w:rsid w:val="00B7479E"/>
    <w:rsid w:val="00B76CA2"/>
    <w:rsid w:val="00B771B8"/>
    <w:rsid w:val="00B8206E"/>
    <w:rsid w:val="00B82FA3"/>
    <w:rsid w:val="00B83832"/>
    <w:rsid w:val="00B8458E"/>
    <w:rsid w:val="00B859AD"/>
    <w:rsid w:val="00B86240"/>
    <w:rsid w:val="00B8674C"/>
    <w:rsid w:val="00B8676D"/>
    <w:rsid w:val="00B876F9"/>
    <w:rsid w:val="00B9153F"/>
    <w:rsid w:val="00B935C4"/>
    <w:rsid w:val="00B93D50"/>
    <w:rsid w:val="00B968C1"/>
    <w:rsid w:val="00BA136D"/>
    <w:rsid w:val="00BA4177"/>
    <w:rsid w:val="00BB5C9E"/>
    <w:rsid w:val="00BC24F3"/>
    <w:rsid w:val="00BC4231"/>
    <w:rsid w:val="00BC42AB"/>
    <w:rsid w:val="00BC492F"/>
    <w:rsid w:val="00BC5B7A"/>
    <w:rsid w:val="00BC5BA7"/>
    <w:rsid w:val="00BC66B3"/>
    <w:rsid w:val="00BD01C0"/>
    <w:rsid w:val="00BD0ADB"/>
    <w:rsid w:val="00BD4991"/>
    <w:rsid w:val="00BD50E8"/>
    <w:rsid w:val="00BD5213"/>
    <w:rsid w:val="00BD590D"/>
    <w:rsid w:val="00BD685F"/>
    <w:rsid w:val="00BD6B5B"/>
    <w:rsid w:val="00BD724C"/>
    <w:rsid w:val="00BE325D"/>
    <w:rsid w:val="00BF11FF"/>
    <w:rsid w:val="00BF1C6A"/>
    <w:rsid w:val="00BF3F92"/>
    <w:rsid w:val="00C02BDD"/>
    <w:rsid w:val="00C041B4"/>
    <w:rsid w:val="00C05E4B"/>
    <w:rsid w:val="00C10806"/>
    <w:rsid w:val="00C111C1"/>
    <w:rsid w:val="00C179A3"/>
    <w:rsid w:val="00C22F52"/>
    <w:rsid w:val="00C24980"/>
    <w:rsid w:val="00C25B4E"/>
    <w:rsid w:val="00C3060D"/>
    <w:rsid w:val="00C3102C"/>
    <w:rsid w:val="00C37501"/>
    <w:rsid w:val="00C42138"/>
    <w:rsid w:val="00C44915"/>
    <w:rsid w:val="00C44A7C"/>
    <w:rsid w:val="00C517C3"/>
    <w:rsid w:val="00C54510"/>
    <w:rsid w:val="00C5556F"/>
    <w:rsid w:val="00C5763E"/>
    <w:rsid w:val="00C57EF9"/>
    <w:rsid w:val="00C6074A"/>
    <w:rsid w:val="00C64983"/>
    <w:rsid w:val="00C65E07"/>
    <w:rsid w:val="00C67984"/>
    <w:rsid w:val="00C73BB2"/>
    <w:rsid w:val="00C74215"/>
    <w:rsid w:val="00C74E53"/>
    <w:rsid w:val="00C81E01"/>
    <w:rsid w:val="00C826C6"/>
    <w:rsid w:val="00C8459D"/>
    <w:rsid w:val="00C87CE5"/>
    <w:rsid w:val="00C9167F"/>
    <w:rsid w:val="00C92AE6"/>
    <w:rsid w:val="00C955AB"/>
    <w:rsid w:val="00C958C5"/>
    <w:rsid w:val="00C97015"/>
    <w:rsid w:val="00CA267E"/>
    <w:rsid w:val="00CA55CB"/>
    <w:rsid w:val="00CA5951"/>
    <w:rsid w:val="00CB0101"/>
    <w:rsid w:val="00CB3F72"/>
    <w:rsid w:val="00CB4CB8"/>
    <w:rsid w:val="00CB653E"/>
    <w:rsid w:val="00CB791B"/>
    <w:rsid w:val="00CC0BE4"/>
    <w:rsid w:val="00CC16C9"/>
    <w:rsid w:val="00CC37EC"/>
    <w:rsid w:val="00CC51FE"/>
    <w:rsid w:val="00CC5315"/>
    <w:rsid w:val="00CC5D44"/>
    <w:rsid w:val="00CC70FE"/>
    <w:rsid w:val="00CC73C2"/>
    <w:rsid w:val="00CC7C15"/>
    <w:rsid w:val="00CC7D46"/>
    <w:rsid w:val="00CD070C"/>
    <w:rsid w:val="00CD09BA"/>
    <w:rsid w:val="00CD334B"/>
    <w:rsid w:val="00CD62FB"/>
    <w:rsid w:val="00CD7071"/>
    <w:rsid w:val="00CE0D78"/>
    <w:rsid w:val="00CE1CCD"/>
    <w:rsid w:val="00CE48A8"/>
    <w:rsid w:val="00CE505F"/>
    <w:rsid w:val="00CE6326"/>
    <w:rsid w:val="00CE742E"/>
    <w:rsid w:val="00CF2876"/>
    <w:rsid w:val="00CF2973"/>
    <w:rsid w:val="00D0090F"/>
    <w:rsid w:val="00D014BA"/>
    <w:rsid w:val="00D01DE3"/>
    <w:rsid w:val="00D02FFF"/>
    <w:rsid w:val="00D037A5"/>
    <w:rsid w:val="00D03AED"/>
    <w:rsid w:val="00D0460B"/>
    <w:rsid w:val="00D07DBF"/>
    <w:rsid w:val="00D1096A"/>
    <w:rsid w:val="00D1132E"/>
    <w:rsid w:val="00D12808"/>
    <w:rsid w:val="00D13399"/>
    <w:rsid w:val="00D134CE"/>
    <w:rsid w:val="00D14C51"/>
    <w:rsid w:val="00D200B8"/>
    <w:rsid w:val="00D22317"/>
    <w:rsid w:val="00D23278"/>
    <w:rsid w:val="00D25EE3"/>
    <w:rsid w:val="00D2657E"/>
    <w:rsid w:val="00D30003"/>
    <w:rsid w:val="00D310B4"/>
    <w:rsid w:val="00D32433"/>
    <w:rsid w:val="00D326A4"/>
    <w:rsid w:val="00D33D8A"/>
    <w:rsid w:val="00D378A4"/>
    <w:rsid w:val="00D37ADB"/>
    <w:rsid w:val="00D40E15"/>
    <w:rsid w:val="00D42050"/>
    <w:rsid w:val="00D43FE3"/>
    <w:rsid w:val="00D447B6"/>
    <w:rsid w:val="00D4686A"/>
    <w:rsid w:val="00D46C0B"/>
    <w:rsid w:val="00D47411"/>
    <w:rsid w:val="00D479B0"/>
    <w:rsid w:val="00D51E97"/>
    <w:rsid w:val="00D52F77"/>
    <w:rsid w:val="00D53D0A"/>
    <w:rsid w:val="00D57C59"/>
    <w:rsid w:val="00D6069B"/>
    <w:rsid w:val="00D63262"/>
    <w:rsid w:val="00D66C94"/>
    <w:rsid w:val="00D71D7A"/>
    <w:rsid w:val="00D7434F"/>
    <w:rsid w:val="00D74B10"/>
    <w:rsid w:val="00D758B0"/>
    <w:rsid w:val="00D806F3"/>
    <w:rsid w:val="00D83C43"/>
    <w:rsid w:val="00D84E01"/>
    <w:rsid w:val="00D929DC"/>
    <w:rsid w:val="00D92BD0"/>
    <w:rsid w:val="00D94313"/>
    <w:rsid w:val="00D966EB"/>
    <w:rsid w:val="00D9764D"/>
    <w:rsid w:val="00DA1E29"/>
    <w:rsid w:val="00DA210E"/>
    <w:rsid w:val="00DB10FC"/>
    <w:rsid w:val="00DB148A"/>
    <w:rsid w:val="00DB2282"/>
    <w:rsid w:val="00DB378F"/>
    <w:rsid w:val="00DB4009"/>
    <w:rsid w:val="00DB4305"/>
    <w:rsid w:val="00DB47AD"/>
    <w:rsid w:val="00DB4CCF"/>
    <w:rsid w:val="00DB63A9"/>
    <w:rsid w:val="00DB6795"/>
    <w:rsid w:val="00DC2A92"/>
    <w:rsid w:val="00DC6FFD"/>
    <w:rsid w:val="00DD012D"/>
    <w:rsid w:val="00DD3A45"/>
    <w:rsid w:val="00DD3A53"/>
    <w:rsid w:val="00DD5C18"/>
    <w:rsid w:val="00DE1635"/>
    <w:rsid w:val="00DE3E27"/>
    <w:rsid w:val="00DF1D5D"/>
    <w:rsid w:val="00DF22E2"/>
    <w:rsid w:val="00DF2F54"/>
    <w:rsid w:val="00DF5DBF"/>
    <w:rsid w:val="00E017E2"/>
    <w:rsid w:val="00E01B8D"/>
    <w:rsid w:val="00E02AF3"/>
    <w:rsid w:val="00E037E7"/>
    <w:rsid w:val="00E0434D"/>
    <w:rsid w:val="00E053A4"/>
    <w:rsid w:val="00E0670C"/>
    <w:rsid w:val="00E078EC"/>
    <w:rsid w:val="00E14C1C"/>
    <w:rsid w:val="00E21D6D"/>
    <w:rsid w:val="00E24B7E"/>
    <w:rsid w:val="00E24C63"/>
    <w:rsid w:val="00E250BD"/>
    <w:rsid w:val="00E26875"/>
    <w:rsid w:val="00E301BA"/>
    <w:rsid w:val="00E31884"/>
    <w:rsid w:val="00E31A7F"/>
    <w:rsid w:val="00E32EB4"/>
    <w:rsid w:val="00E3461B"/>
    <w:rsid w:val="00E34833"/>
    <w:rsid w:val="00E418D7"/>
    <w:rsid w:val="00E41F48"/>
    <w:rsid w:val="00E43842"/>
    <w:rsid w:val="00E46CC3"/>
    <w:rsid w:val="00E500B6"/>
    <w:rsid w:val="00E50BD6"/>
    <w:rsid w:val="00E522E2"/>
    <w:rsid w:val="00E5322E"/>
    <w:rsid w:val="00E600BA"/>
    <w:rsid w:val="00E6288D"/>
    <w:rsid w:val="00E65B1A"/>
    <w:rsid w:val="00E67FD0"/>
    <w:rsid w:val="00E72CC9"/>
    <w:rsid w:val="00E73311"/>
    <w:rsid w:val="00E73C61"/>
    <w:rsid w:val="00E75202"/>
    <w:rsid w:val="00E76A78"/>
    <w:rsid w:val="00E81240"/>
    <w:rsid w:val="00E8349F"/>
    <w:rsid w:val="00E84A96"/>
    <w:rsid w:val="00E8500D"/>
    <w:rsid w:val="00E85B57"/>
    <w:rsid w:val="00E91925"/>
    <w:rsid w:val="00E93CE3"/>
    <w:rsid w:val="00E94154"/>
    <w:rsid w:val="00E94E66"/>
    <w:rsid w:val="00E9755D"/>
    <w:rsid w:val="00EA037D"/>
    <w:rsid w:val="00EA1F0D"/>
    <w:rsid w:val="00EA2882"/>
    <w:rsid w:val="00EA324B"/>
    <w:rsid w:val="00EA3799"/>
    <w:rsid w:val="00EA66FB"/>
    <w:rsid w:val="00EB2FCD"/>
    <w:rsid w:val="00EC0CCC"/>
    <w:rsid w:val="00EC17A7"/>
    <w:rsid w:val="00EC4969"/>
    <w:rsid w:val="00EC5440"/>
    <w:rsid w:val="00ED0946"/>
    <w:rsid w:val="00ED1055"/>
    <w:rsid w:val="00ED1A7E"/>
    <w:rsid w:val="00ED4A18"/>
    <w:rsid w:val="00ED6B14"/>
    <w:rsid w:val="00EE1677"/>
    <w:rsid w:val="00EE4CB8"/>
    <w:rsid w:val="00EE4FC8"/>
    <w:rsid w:val="00EE5B95"/>
    <w:rsid w:val="00EE5DCC"/>
    <w:rsid w:val="00EE6A7B"/>
    <w:rsid w:val="00EF090B"/>
    <w:rsid w:val="00EF1567"/>
    <w:rsid w:val="00EF7A15"/>
    <w:rsid w:val="00F0008A"/>
    <w:rsid w:val="00F00DA1"/>
    <w:rsid w:val="00F01244"/>
    <w:rsid w:val="00F01518"/>
    <w:rsid w:val="00F01E2A"/>
    <w:rsid w:val="00F06E1A"/>
    <w:rsid w:val="00F10583"/>
    <w:rsid w:val="00F12F3E"/>
    <w:rsid w:val="00F136F6"/>
    <w:rsid w:val="00F22367"/>
    <w:rsid w:val="00F22637"/>
    <w:rsid w:val="00F229A0"/>
    <w:rsid w:val="00F23367"/>
    <w:rsid w:val="00F26B8B"/>
    <w:rsid w:val="00F2739B"/>
    <w:rsid w:val="00F2787E"/>
    <w:rsid w:val="00F31181"/>
    <w:rsid w:val="00F37CAB"/>
    <w:rsid w:val="00F401E8"/>
    <w:rsid w:val="00F40429"/>
    <w:rsid w:val="00F4185A"/>
    <w:rsid w:val="00F42F1C"/>
    <w:rsid w:val="00F45880"/>
    <w:rsid w:val="00F46AE3"/>
    <w:rsid w:val="00F47AE2"/>
    <w:rsid w:val="00F47D6D"/>
    <w:rsid w:val="00F53D58"/>
    <w:rsid w:val="00F54626"/>
    <w:rsid w:val="00F55845"/>
    <w:rsid w:val="00F55C2F"/>
    <w:rsid w:val="00F61BEA"/>
    <w:rsid w:val="00F65B29"/>
    <w:rsid w:val="00F6602F"/>
    <w:rsid w:val="00F66913"/>
    <w:rsid w:val="00F66FC8"/>
    <w:rsid w:val="00F67D86"/>
    <w:rsid w:val="00F703D5"/>
    <w:rsid w:val="00F7293E"/>
    <w:rsid w:val="00F74233"/>
    <w:rsid w:val="00F74C47"/>
    <w:rsid w:val="00F767B5"/>
    <w:rsid w:val="00F82154"/>
    <w:rsid w:val="00F8221B"/>
    <w:rsid w:val="00F831C3"/>
    <w:rsid w:val="00F83C6E"/>
    <w:rsid w:val="00F83E34"/>
    <w:rsid w:val="00F87508"/>
    <w:rsid w:val="00F8773F"/>
    <w:rsid w:val="00F92317"/>
    <w:rsid w:val="00F928EA"/>
    <w:rsid w:val="00F92AE6"/>
    <w:rsid w:val="00F946F4"/>
    <w:rsid w:val="00F94CB8"/>
    <w:rsid w:val="00F951EB"/>
    <w:rsid w:val="00FA19C4"/>
    <w:rsid w:val="00FB18DC"/>
    <w:rsid w:val="00FB5B7E"/>
    <w:rsid w:val="00FC2072"/>
    <w:rsid w:val="00FC38F2"/>
    <w:rsid w:val="00FD085A"/>
    <w:rsid w:val="00FD34A9"/>
    <w:rsid w:val="00FD4BD7"/>
    <w:rsid w:val="00FE08D7"/>
    <w:rsid w:val="00FE1096"/>
    <w:rsid w:val="00FE23A2"/>
    <w:rsid w:val="00FE671E"/>
    <w:rsid w:val="00FF0F31"/>
    <w:rsid w:val="00FF6BEF"/>
    <w:rsid w:val="00FF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9DF7"/>
  <w15:docId w15:val="{7F6479CC-A657-410C-B355-1B7B3CAE6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05"/>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65C24"/>
    <w:rPr>
      <w:sz w:val="16"/>
      <w:szCs w:val="16"/>
    </w:rPr>
  </w:style>
  <w:style w:type="paragraph" w:styleId="CommentText">
    <w:name w:val="annotation text"/>
    <w:basedOn w:val="Normal"/>
    <w:link w:val="CommentTextChar"/>
    <w:uiPriority w:val="99"/>
    <w:unhideWhenUsed/>
    <w:rsid w:val="00465C24"/>
    <w:pPr>
      <w:spacing w:line="240" w:lineRule="auto"/>
    </w:pPr>
    <w:rPr>
      <w:sz w:val="20"/>
      <w:szCs w:val="20"/>
    </w:rPr>
  </w:style>
  <w:style w:type="character" w:customStyle="1" w:styleId="CommentTextChar">
    <w:name w:val="Comment Text Char"/>
    <w:basedOn w:val="DefaultParagraphFont"/>
    <w:link w:val="CommentText"/>
    <w:uiPriority w:val="99"/>
    <w:rsid w:val="00465C24"/>
    <w:rPr>
      <w:sz w:val="20"/>
      <w:szCs w:val="20"/>
      <w:lang w:val="en-GB"/>
    </w:rPr>
  </w:style>
  <w:style w:type="paragraph" w:styleId="CommentSubject">
    <w:name w:val="annotation subject"/>
    <w:basedOn w:val="CommentText"/>
    <w:next w:val="CommentText"/>
    <w:link w:val="CommentSubjectChar"/>
    <w:uiPriority w:val="99"/>
    <w:semiHidden/>
    <w:unhideWhenUsed/>
    <w:rsid w:val="000C3469"/>
    <w:rPr>
      <w:b/>
      <w:bCs/>
    </w:rPr>
  </w:style>
  <w:style w:type="character" w:customStyle="1" w:styleId="CommentSubjectChar">
    <w:name w:val="Comment Subject Char"/>
    <w:basedOn w:val="CommentTextChar"/>
    <w:link w:val="CommentSubject"/>
    <w:uiPriority w:val="99"/>
    <w:semiHidden/>
    <w:rsid w:val="000C3469"/>
    <w:rPr>
      <w:b/>
      <w:bCs/>
      <w:sz w:val="20"/>
      <w:szCs w:val="20"/>
      <w:lang w:val="en-GB"/>
    </w:rPr>
  </w:style>
  <w:style w:type="table" w:styleId="TableGrid">
    <w:name w:val="Table Grid"/>
    <w:basedOn w:val="TableNormal"/>
    <w:uiPriority w:val="39"/>
    <w:rsid w:val="005D0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7E7D"/>
    <w:pPr>
      <w:ind w:left="720"/>
      <w:contextualSpacing/>
    </w:pPr>
  </w:style>
  <w:style w:type="character" w:styleId="PlaceholderText">
    <w:name w:val="Placeholder Text"/>
    <w:basedOn w:val="DefaultParagraphFont"/>
    <w:uiPriority w:val="99"/>
    <w:semiHidden/>
    <w:rsid w:val="00752D54"/>
    <w:rPr>
      <w:color w:val="808080"/>
    </w:rPr>
  </w:style>
  <w:style w:type="character" w:styleId="Hyperlink">
    <w:name w:val="Hyperlink"/>
    <w:basedOn w:val="DefaultParagraphFont"/>
    <w:uiPriority w:val="99"/>
    <w:unhideWhenUsed/>
    <w:rsid w:val="004C7C86"/>
    <w:rPr>
      <w:color w:val="0563C1" w:themeColor="hyperlink"/>
      <w:u w:val="single"/>
    </w:rPr>
  </w:style>
  <w:style w:type="character" w:styleId="UnresolvedMention">
    <w:name w:val="Unresolved Mention"/>
    <w:basedOn w:val="DefaultParagraphFont"/>
    <w:uiPriority w:val="99"/>
    <w:semiHidden/>
    <w:unhideWhenUsed/>
    <w:rsid w:val="00F92317"/>
    <w:rPr>
      <w:color w:val="605E5C"/>
      <w:shd w:val="clear" w:color="auto" w:fill="E1DFDD"/>
    </w:rPr>
  </w:style>
  <w:style w:type="paragraph" w:styleId="Revision">
    <w:name w:val="Revision"/>
    <w:hidden/>
    <w:uiPriority w:val="99"/>
    <w:semiHidden/>
    <w:rsid w:val="0028464B"/>
    <w:pPr>
      <w:spacing w:after="0" w:line="240" w:lineRule="auto"/>
    </w:pPr>
    <w:rPr>
      <w:lang w:val="en-GB"/>
    </w:rPr>
  </w:style>
  <w:style w:type="character" w:styleId="LineNumber">
    <w:name w:val="line number"/>
    <w:basedOn w:val="DefaultParagraphFont"/>
    <w:uiPriority w:val="99"/>
    <w:semiHidden/>
    <w:unhideWhenUsed/>
    <w:rsid w:val="00394F58"/>
  </w:style>
  <w:style w:type="paragraph" w:styleId="Header">
    <w:name w:val="header"/>
    <w:basedOn w:val="Normal"/>
    <w:link w:val="HeaderChar"/>
    <w:uiPriority w:val="99"/>
    <w:unhideWhenUsed/>
    <w:rsid w:val="00FD0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85A"/>
    <w:rPr>
      <w:lang w:val="en-GB"/>
    </w:rPr>
  </w:style>
  <w:style w:type="paragraph" w:styleId="Footer">
    <w:name w:val="footer"/>
    <w:basedOn w:val="Normal"/>
    <w:link w:val="FooterChar"/>
    <w:uiPriority w:val="99"/>
    <w:unhideWhenUsed/>
    <w:rsid w:val="00FD0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85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1740">
      <w:bodyDiv w:val="1"/>
      <w:marLeft w:val="0"/>
      <w:marRight w:val="0"/>
      <w:marTop w:val="0"/>
      <w:marBottom w:val="0"/>
      <w:divBdr>
        <w:top w:val="none" w:sz="0" w:space="0" w:color="auto"/>
        <w:left w:val="none" w:sz="0" w:space="0" w:color="auto"/>
        <w:bottom w:val="none" w:sz="0" w:space="0" w:color="auto"/>
        <w:right w:val="none" w:sz="0" w:space="0" w:color="auto"/>
      </w:divBdr>
    </w:div>
    <w:div w:id="2068913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E03CC-E670-4CBE-AF0D-C11174DD3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31</Pages>
  <Words>7778</Words>
  <Characters>44335</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Drees</cp:lastModifiedBy>
  <cp:revision>7</cp:revision>
  <dcterms:created xsi:type="dcterms:W3CDTF">2025-09-08T22:13:00Z</dcterms:created>
  <dcterms:modified xsi:type="dcterms:W3CDTF">2026-02-13T05:03:00Z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