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486BE3A4"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 Skarpaas and Shea 2007</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Climate change may have profound effects on how plants spread across the landscape by altering one or more individual dispersal pathways, which may then affect the total dispersal kernel 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(Kuparinen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 xml:space="preserve">increased frequency of extreme wind events may lead to long-distance dispersal events becoming more common (Soons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w:t>
      </w:r>
      <w:r w:rsidR="00991A4C">
        <w:rPr>
          <w:rFonts w:ascii="Times New Roman" w:hAnsi="Times New Roman" w:cs="Times New Roman"/>
          <w:sz w:val="24"/>
          <w:szCs w:val="24"/>
        </w:rPr>
        <w:lastRenderedPageBreak/>
        <w:t>that disperse the seeds (SOURCES), also causing changes in the total dispersal kernel. In these cases, the shape of the dispersal kernel for a particular component of the total dispersal kernel is changed, and consequently the shape of the total dispersal kernel itself is changed; this changes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seed, and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(Trumble and Kok 1982). In addition to pastures, these thistles occur in other highly disturbed areas such as drainages and roadsides</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and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eeds contain elaiosomes that are thought to play a role in ant-mediated dispersal (Pemberton and Irving 1990), and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(Jongejans et al. 2015).</w:t>
      </w:r>
      <w:commentRangeEnd w:id="1"/>
      <w:r>
        <w:rPr>
          <w:rStyle w:val="CommentReference"/>
        </w:rPr>
        <w:commentReference w:id="1"/>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commentRangeStart w:id="2"/>
      <w:r>
        <w:rPr>
          <w:rFonts w:ascii="Times New Roman" w:hAnsi="Times New Roman" w:cs="Times New Roman"/>
          <w:b/>
          <w:bCs/>
          <w:i/>
          <w:iCs/>
          <w:sz w:val="24"/>
          <w:szCs w:val="24"/>
        </w:rPr>
        <w:t>Dispersal models</w:t>
      </w:r>
      <w:commentRangeEnd w:id="2"/>
      <w:r w:rsidR="000C3469">
        <w:rPr>
          <w:rStyle w:val="CommentReference"/>
        </w:rPr>
        <w:commentReference w:id="2"/>
      </w:r>
    </w:p>
    <w:p w14:paraId="6DC49911"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Dispersal was modelled using the Wald analytical long-distance dispersal (WALD) model. This mechanistic model, based in fluid dynamics, predicts the distribution of propagule dispersal distances by wind and has been shown to be a suitable approximation of empirically determined kernels for wind-dispersed plants (Katul et al. 2005; Skarpaas and Shea 2007). The dispersal kernel generated under this model is an inverse Gaussian distribution of the form</w:t>
      </w:r>
    </w:p>
    <w:p w14:paraId="2A31137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commentRangeStart w:id="3"/>
      <m:oMathPara>
        <m:oMath>
          <m:r>
            <w:rPr>
              <w:rFonts w:ascii="Cambria Math" w:hAnsi="Cambria Math" w:cs="Times New Roman"/>
              <w:sz w:val="24"/>
              <w:szCs w:val="24"/>
            </w:rPr>
            <w:lastRenderedPageBreak/>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3"/>
          <m:r>
            <m:rPr>
              <m:sty m:val="p"/>
            </m:rPr>
            <w:rPr>
              <w:rStyle w:val="CommentReference"/>
            </w:rPr>
            <w:commentReference w:id="3"/>
          </m:r>
        </m:oMath>
      </m:oMathPara>
    </w:p>
    <w:p w14:paraId="37C3B00A"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69454F3D" w14:textId="77777777" w:rsidR="000C3469" w:rsidRPr="00283B6D" w:rsidRDefault="000C3469" w:rsidP="000C3469">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r w:rsidRPr="00283B6D">
        <w:rPr>
          <w:rFonts w:ascii="Times New Roman" w:hAnsi="Times New Roman" w:cs="Times New Roman"/>
          <w:sz w:val="24"/>
          <w:szCs w:val="24"/>
        </w:rPr>
        <w:t xml:space="preserve">Skarpaas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22FDCEAC"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7DEE6B75" w14:textId="77777777" w:rsidR="000C3469" w:rsidRPr="00283B6D" w:rsidRDefault="000C3469" w:rsidP="000C3469">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Raupach (1994); suitable approximations of these values in grassland environments can be found in Wiernga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Skarpaas and Shea (2007).</w:t>
      </w:r>
    </w:p>
    <w:p w14:paraId="3E9D5294"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Skarpaas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C. acanthoides</w:t>
      </w:r>
      <w:r w:rsidRPr="00283B6D">
        <w:rPr>
          <w:rFonts w:ascii="Times New Roman" w:hAnsi="Times New Roman" w:cs="Times New Roman"/>
          <w:sz w:val="24"/>
          <w:szCs w:val="24"/>
        </w:rPr>
        <w:t>, to get a modified kernel</w:t>
      </w:r>
    </w:p>
    <w:p w14:paraId="3475C0F9"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2478D5B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4AAABAD8"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12CEDE9E" w14:textId="3B89668C" w:rsidR="000C3469"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hAnsi="Times New Roman" w:cs="Times New Roman"/>
          <w:sz w:val="24"/>
          <w:szCs w:val="24"/>
        </w:rPr>
        <w:t xml:space="preserve">so the new dispersal kernel accounts for variation in wind speed and seed terminal velocity as well as all of the different flower heights that seeds can be released from (Skarpaas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C. acanthoides</w:t>
      </w:r>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212FD450" w14:textId="55283464" w:rsidR="00351E3F" w:rsidRDefault="00351E3F" w:rsidP="000C3469">
      <w:pPr>
        <w:spacing w:after="120" w:line="240" w:lineRule="auto"/>
        <w:jc w:val="both"/>
        <w:rPr>
          <w:rFonts w:ascii="Times New Roman" w:eastAsiaTheme="minorEastAsia" w:hAnsi="Times New Roman" w:cs="Times New Roman"/>
          <w:sz w:val="24"/>
          <w:szCs w:val="24"/>
        </w:rPr>
      </w:pPr>
      <w:r w:rsidRPr="00351E3F">
        <w:rPr>
          <w:rFonts w:ascii="Times New Roman" w:eastAsiaTheme="minorEastAsia" w:hAnsi="Times New Roman" w:cs="Times New Roman"/>
          <w:sz w:val="24"/>
          <w:szCs w:val="24"/>
          <w:highlight w:val="yellow"/>
        </w:rPr>
        <w:t>Talk about ant dispersal</w:t>
      </w:r>
    </w:p>
    <w:p w14:paraId="4FC8EA51" w14:textId="77777777" w:rsidR="00CC7C15" w:rsidRDefault="00CC7C15" w:rsidP="00CC7C15">
      <w:pPr>
        <w:jc w:val="both"/>
        <w:rPr>
          <w:rFonts w:ascii="Times New Roman" w:hAnsi="Times New Roman" w:cs="Times New Roman"/>
          <w:sz w:val="24"/>
          <w:szCs w:val="24"/>
        </w:rPr>
      </w:pPr>
    </w:p>
    <w:p w14:paraId="69D21105" w14:textId="7F88BD0D"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w:t>
      </w:r>
      <w:commentRangeStart w:id="4"/>
      <w:r>
        <w:rPr>
          <w:rFonts w:ascii="Times New Roman" w:hAnsi="Times New Roman" w:cs="Times New Roman"/>
          <w:b/>
          <w:bCs/>
          <w:i/>
          <w:iCs/>
          <w:sz w:val="24"/>
          <w:szCs w:val="24"/>
        </w:rPr>
        <w:t xml:space="preserve"> models</w:t>
      </w:r>
      <w:commentRangeEnd w:id="4"/>
      <w:r>
        <w:rPr>
          <w:rStyle w:val="CommentReference"/>
        </w:rPr>
        <w:commentReference w:id="4"/>
      </w:r>
    </w:p>
    <w:p w14:paraId="3665D9A7" w14:textId="026ECAF5" w:rsidR="00DB4305" w:rsidRDefault="00351E3F" w:rsidP="00E9755D">
      <w:pPr>
        <w:jc w:val="both"/>
        <w:rPr>
          <w:rFonts w:ascii="Times New Roman" w:hAnsi="Times New Roman" w:cs="Times New Roman"/>
          <w:sz w:val="24"/>
          <w:szCs w:val="24"/>
        </w:rPr>
      </w:pPr>
      <w:r w:rsidRPr="00351E3F">
        <w:rPr>
          <w:rFonts w:ascii="Times New Roman" w:hAnsi="Times New Roman" w:cs="Times New Roman"/>
          <w:sz w:val="24"/>
          <w:szCs w:val="24"/>
          <w:highlight w:val="yellow"/>
        </w:rPr>
        <w:t>Talk about fitting models</w:t>
      </w:r>
    </w:p>
    <w:p w14:paraId="6F6CB852" w14:textId="2E43F002" w:rsidR="00351E3F" w:rsidRDefault="00351E3F" w:rsidP="00E9755D">
      <w:pPr>
        <w:jc w:val="both"/>
        <w:rPr>
          <w:rFonts w:ascii="Times New Roman" w:hAnsi="Times New Roman" w:cs="Times New Roman"/>
          <w:sz w:val="24"/>
          <w:szCs w:val="24"/>
        </w:rPr>
      </w:pPr>
      <w:r w:rsidRPr="00351E3F">
        <w:rPr>
          <w:rFonts w:ascii="Times New Roman" w:hAnsi="Times New Roman" w:cs="Times New Roman"/>
          <w:sz w:val="24"/>
          <w:szCs w:val="24"/>
          <w:highlight w:val="yellow"/>
        </w:rPr>
        <w:t>Talk about parameters that were sourced from elsewhere.</w:t>
      </w:r>
    </w:p>
    <w:p w14:paraId="7F5B4E8B" w14:textId="5F937D70" w:rsidR="00351E3F" w:rsidRDefault="00351E3F" w:rsidP="00E9755D">
      <w:pPr>
        <w:jc w:val="both"/>
        <w:rPr>
          <w:rFonts w:ascii="Times New Roman" w:hAnsi="Times New Roman" w:cs="Times New Roman"/>
          <w:sz w:val="24"/>
          <w:szCs w:val="24"/>
        </w:rPr>
      </w:pPr>
      <w:r w:rsidRPr="00351E3F">
        <w:rPr>
          <w:rFonts w:ascii="Times New Roman" w:hAnsi="Times New Roman" w:cs="Times New Roman"/>
          <w:sz w:val="24"/>
          <w:szCs w:val="24"/>
          <w:highlight w:val="yellow"/>
        </w:rPr>
        <w:lastRenderedPageBreak/>
        <w:t>Talk about unknown parameters, mostly seed predation rate.</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6F111D07" w14:textId="60ED324D"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acanthoides </w:t>
      </w:r>
      <w:r w:rsidRPr="00A739D7">
        <w:rPr>
          <w:rFonts w:ascii="Times New Roman" w:hAnsi="Times New Roman" w:cs="Times New Roman"/>
          <w:sz w:val="24"/>
          <w:szCs w:val="24"/>
        </w:rPr>
        <w:t>analytically estimate wavespeeds</w:t>
      </w:r>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r w:rsidRPr="00283B6D">
        <w:rPr>
          <w:rFonts w:ascii="Times New Roman" w:hAnsi="Times New Roman" w:cs="Times New Roman"/>
          <w:sz w:val="24"/>
          <w:szCs w:val="24"/>
        </w:rPr>
        <w:t>Skarpaas and Shea 2007</w:t>
      </w:r>
      <w:r>
        <w:rPr>
          <w:rFonts w:ascii="Times New Roman" w:hAnsi="Times New Roman" w:cs="Times New Roman"/>
          <w:sz w:val="24"/>
          <w:szCs w:val="24"/>
        </w:rPr>
        <w:t xml:space="preserve">,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Marchetto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instead using numerical methods to estimate these wavespeeds. </w:t>
      </w:r>
      <w:r w:rsidR="00CC7C15">
        <w:rPr>
          <w:rFonts w:ascii="Times New Roman" w:hAnsi="Times New Roman" w:cs="Times New Roman"/>
          <w:sz w:val="24"/>
          <w:szCs w:val="24"/>
        </w:rPr>
        <w:t xml:space="preserve">All wavespeeds were solved for numerically by simulating the expansion of a population starting from a single rosette,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w:t>
      </w:r>
      <w:r w:rsidR="00CC7C15">
        <w:rPr>
          <w:rFonts w:ascii="Times New Roman" w:hAnsi="Times New Roman" w:cs="Times New Roman"/>
          <w:sz w:val="24"/>
          <w:szCs w:val="24"/>
        </w:rPr>
        <w:t>rosette</w:t>
      </w:r>
      <w:r w:rsidR="00CC7C15">
        <w:rPr>
          <w:rFonts w:ascii="Times New Roman" w:hAnsi="Times New Roman" w:cs="Times New Roman"/>
          <w:sz w:val="24"/>
          <w:szCs w:val="24"/>
        </w:rPr>
        <w:t xml:space="preserve"> sizes.</w:t>
      </w:r>
      <w:r w:rsidR="00CC16C9">
        <w:rPr>
          <w:rFonts w:ascii="Times New Roman" w:hAnsi="Times New Roman" w:cs="Times New Roman"/>
          <w:sz w:val="24"/>
          <w:szCs w:val="24"/>
        </w:rPr>
        <w:t xml:space="preserve"> </w:t>
      </w:r>
    </w:p>
    <w:p w14:paraId="29475762" w14:textId="2C783CF4" w:rsidR="00CC7C15"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year,</w:t>
      </w:r>
      <w:r>
        <w:rPr>
          <w:rFonts w:ascii="Times New Roman" w:hAnsi="Times New Roman" w:cs="Times New Roman"/>
          <w:sz w:val="24"/>
          <w:szCs w:val="24"/>
        </w:rPr>
        <w:t xml:space="preserve"> we simulated</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Pr>
          <w:rFonts w:ascii="Times New Roman" w:hAnsi="Times New Roman" w:cs="Times New Roman"/>
          <w:sz w:val="24"/>
          <w:szCs w:val="24"/>
        </w:rPr>
        <w:t>; f</w:t>
      </w:r>
      <w:r w:rsidR="0041092C">
        <w:rPr>
          <w:rFonts w:ascii="Times New Roman" w:hAnsi="Times New Roman" w:cs="Times New Roman"/>
          <w:sz w:val="24"/>
          <w:szCs w:val="24"/>
        </w:rPr>
        <w:t>or the rosettes that survived</w:t>
      </w:r>
      <w:r w:rsidR="00CC7C15">
        <w:rPr>
          <w:rFonts w:ascii="Times New Roman" w:hAnsi="Times New Roman" w:cs="Times New Roman"/>
          <w:sz w:val="24"/>
          <w:szCs w:val="24"/>
        </w:rPr>
        <w:t xml:space="preserve">, </w:t>
      </w:r>
      <w:r>
        <w:rPr>
          <w:rFonts w:ascii="Times New Roman" w:hAnsi="Times New Roman" w:cs="Times New Roman"/>
          <w:sz w:val="24"/>
          <w:szCs w:val="24"/>
        </w:rPr>
        <w:t xml:space="preserve">growth into adulthood was simulated as well; </w:t>
      </w:r>
      <w:r w:rsidR="006C1A80">
        <w:rPr>
          <w:rFonts w:ascii="Times New Roman" w:hAnsi="Times New Roman" w:cs="Times New Roman"/>
          <w:sz w:val="24"/>
          <w:szCs w:val="24"/>
        </w:rPr>
        <w:t>only a fraction of individuals reach adulthood in the same year that they establish, though</w:t>
      </w:r>
      <w:r>
        <w:rPr>
          <w:rFonts w:ascii="Times New Roman" w:hAnsi="Times New Roman" w:cs="Times New Roman"/>
          <w:sz w:val="24"/>
          <w:szCs w:val="24"/>
        </w:rPr>
        <w:t>, and some take two or more years to reproduce (Keller and Shea 2021)</w:t>
      </w:r>
      <w:r w:rsidR="00CC7C15">
        <w:rPr>
          <w:rFonts w:ascii="Times New Roman" w:hAnsi="Times New Roman" w:cs="Times New Roman"/>
          <w:sz w:val="24"/>
          <w:szCs w:val="24"/>
        </w:rPr>
        <w:t>. For adults</w:t>
      </w:r>
      <w:r>
        <w:rPr>
          <w:rFonts w:ascii="Times New Roman" w:hAnsi="Times New Roman" w:cs="Times New Roman"/>
          <w:sz w:val="24"/>
          <w:szCs w:val="24"/>
        </w:rPr>
        <w:t xml:space="preserve"> that flowered</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CC7C15">
        <w:rPr>
          <w:rFonts w:ascii="Times New Roman" w:hAnsi="Times New Roman" w:cs="Times New Roman"/>
          <w:sz w:val="24"/>
          <w:szCs w:val="24"/>
        </w:rPr>
        <w:t>,</w:t>
      </w:r>
      <w:r>
        <w:rPr>
          <w:rFonts w:ascii="Times New Roman" w:hAnsi="Times New Roman" w:cs="Times New Roman"/>
          <w:sz w:val="24"/>
          <w:szCs w:val="24"/>
        </w:rPr>
        <w:t xml:space="preserve"> as was the number of seeds from each flower head,</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CC7C15">
        <w:rPr>
          <w:rFonts w:ascii="Times New Roman" w:hAnsi="Times New Roman" w:cs="Times New Roman"/>
          <w:sz w:val="24"/>
          <w:szCs w:val="24"/>
        </w:rPr>
        <w:t xml:space="preserve">Dispersal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was then simulated, as was predation of dispersed seeds</w:t>
      </w:r>
      <w:r>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that were not consumed,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xml:space="preserve">, or </w:t>
      </w:r>
      <w:r w:rsidR="006C1A80">
        <w:rPr>
          <w:rFonts w:ascii="Times New Roman" w:hAnsi="Times New Roman" w:cs="Times New Roman"/>
          <w:sz w:val="24"/>
          <w:szCs w:val="24"/>
        </w:rPr>
        <w:t>died (i.e. failed to either establish or enter the seed bank</w:t>
      </w:r>
      <w:r w:rsidR="006C1A80">
        <w:rPr>
          <w:rFonts w:ascii="Times New Roman" w:hAnsi="Times New Roman" w:cs="Times New Roman"/>
          <w:sz w:val="24"/>
          <w:szCs w:val="24"/>
        </w:rPr>
        <w:t>).</w:t>
      </w:r>
    </w:p>
    <w:p w14:paraId="1BC71DD5" w14:textId="45AA973C" w:rsidR="005A7962" w:rsidRDefault="00CC70FE"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For our simulations, t</w:t>
      </w:r>
      <w:r w:rsidR="005A7962">
        <w:rPr>
          <w:rFonts w:ascii="Times New Roman" w:hAnsi="Times New Roman" w:cs="Times New Roman"/>
          <w:sz w:val="24"/>
          <w:szCs w:val="24"/>
        </w:rPr>
        <w:t xml:space="preserve">he wavespeed over the course of a </w:t>
      </w:r>
      <w:r>
        <w:rPr>
          <w:rFonts w:ascii="Times New Roman" w:hAnsi="Times New Roman" w:cs="Times New Roman"/>
          <w:sz w:val="24"/>
          <w:szCs w:val="24"/>
        </w:rPr>
        <w:t>given</w:t>
      </w:r>
      <w:r w:rsidR="005A7962">
        <w:rPr>
          <w:rFonts w:ascii="Times New Roman" w:hAnsi="Times New Roman" w:cs="Times New Roman"/>
          <w:sz w:val="24"/>
          <w:szCs w:val="24"/>
        </w:rPr>
        <w:t xml:space="preserve"> year is defined as the difference in position of the individual(s) at the frontmost point of the wave between the current year and previous year. Since the simulations are computationally intensive, areas more than 500 m behind the wavefront were trimmed to save computational resources; this distance was found to be far enough such that dispersal events from any position before this cutoff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wavespeeds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5348FB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Bullock, J. M., White, S. M., Prudhomme, C., Tansey, C., Perea, R., &amp; Hooftman, D. A. (2012). Modelling spread of British wind‐dispersed plants under future wind speeds in a changing climate. Journal of Ecology, 100(1), 104-115.</w:t>
      </w:r>
    </w:p>
    <w:p w14:paraId="30C29E5D" w14:textId="24EA9023" w:rsidR="00991A4C" w:rsidRP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Jensen, T.S. and Nielsen, O.F., 1986. Rodents as seed dispersers in a heath—oak wood succession. Oecologia, 70(2), pp.214-221.</w:t>
      </w:r>
    </w:p>
    <w:p w14:paraId="4AE37D78" w14:textId="7CC6D13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Shea, K., Skarpaas, O., Kelly, D. and Ellner,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Katul, G. G., Porporato, A., Nathan, R., Siqueira, M., Soons,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lastRenderedPageBreak/>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Kot, M., Lewis, M.A. and van den Driessche,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r w:rsidRPr="00F92AE6">
        <w:rPr>
          <w:rFonts w:ascii="Times New Roman" w:hAnsi="Times New Roman" w:cs="Times New Roman"/>
          <w:sz w:val="24"/>
          <w:szCs w:val="24"/>
        </w:rPr>
        <w:t>Kuparinen, A., Katul, G., Nathan, R. and Schurr,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5"/>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5"/>
      <w:r>
        <w:rPr>
          <w:rStyle w:val="CommentReference"/>
        </w:rPr>
        <w:commentReference w:id="5"/>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r w:rsidRPr="005A7962">
        <w:rPr>
          <w:rFonts w:ascii="Times New Roman" w:hAnsi="Times New Roman" w:cs="Times New Roman"/>
          <w:sz w:val="24"/>
          <w:szCs w:val="24"/>
        </w:rPr>
        <w:t>Marchetto, K.M., Shea, K., Kelly, D., Groenteman, R., Sezen, Z. and Jongejans, E., 2014. Unrecognized impact of a biocontrol agent on the spread rate of an invasive thistle. Ecological Applications, 24(5), pp.1178-1187.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Nathan, R., Katul, G.G., Bohrer, G., Kuparinen, A., Soons, M.B., Thompson, S.E., Trakhtenbrot,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49E84AF4"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Pemberton, R. W., &amp; Irving, D. W. (1990). Elaiosomes on weed seeds and the potential for myrmecochory in naturalized plants. Weed Science, 615-619.</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0C3469">
        <w:rPr>
          <w:rFonts w:ascii="Times New Roman" w:hAnsi="Times New Roman" w:cs="Times New Roman"/>
          <w:color w:val="222222"/>
          <w:sz w:val="24"/>
          <w:szCs w:val="24"/>
          <w:shd w:val="clear" w:color="auto" w:fill="FFFFFF"/>
        </w:rPr>
        <w:t>Raupach,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Rogers, H.S., Beckman, N.G., Hartig, F., Johnson, J.S., Pufal, G., Shea, K., Zurell, D., Bullock, J.M., Cantrell, R.S., Loiselle, B. and Pejchar, L., 2019. The total dispersal kernel: a review and future directions. AoB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Skarpaas,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lastRenderedPageBreak/>
        <w:t>Skarpaas, O., Silverman, E. J., Jongejans, E., &amp; Shea, K. (2011). Are the best dispersers the best colonizers? Seed mass, dispersal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Soons, M.B., Heil, G.W., Nathan, R. and Katul,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Soons, M.B., Nathan, R. and Katul,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t>Tackenberg, O., Poschlod, P. and Kahmen, S., 2003. Dandelion seed dispersal: the horizontal wind speed does not matter for long‐distance dispersal‐it is updraft!.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Trumble, J.T. and Kok, L.T., 1982. Integrated pest management techniques in thistle suppression in pastures of North America. Weed Research, 22(6), pp.345-359.</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082A6892"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Wiernga, J. (1993). Representative roughness parameters for homogeneous terrain. Boundary-Layer Meteorology, 63(4), 323-363.</w:t>
      </w:r>
    </w:p>
    <w:p w14:paraId="0C4D5631" w14:textId="22BDD7BC" w:rsidR="005D083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p>
    <w:p w14:paraId="680A1C6A" w14:textId="77777777" w:rsidR="005D0834" w:rsidRDefault="005D0834">
      <w:pPr>
        <w:rPr>
          <w:rFonts w:ascii="Times New Roman" w:hAnsi="Times New Roman" w:cs="Times New Roman"/>
          <w:sz w:val="24"/>
          <w:szCs w:val="24"/>
        </w:rPr>
      </w:pPr>
      <w:r>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Skarpaas</w:t>
            </w:r>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Zhang</w:t>
            </w:r>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Pr="00967E7D">
              <w:rPr>
                <w:rFonts w:ascii="Times New Roman" w:hAnsi="Times New Roman" w:cs="Times New Roman"/>
                <w:sz w:val="20"/>
                <w:szCs w:val="20"/>
              </w:rPr>
              <w:t>2</w:t>
            </w:r>
            <w:r w:rsidRPr="00967E7D">
              <w:rPr>
                <w:rFonts w:ascii="Times New Roman" w:hAnsi="Times New Roman" w:cs="Times New Roman"/>
                <w:sz w:val="20"/>
                <w:szCs w:val="20"/>
              </w:rPr>
              <w:t>)</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2A65740B" w14:textId="77777777" w:rsidTr="00967E7D">
        <w:tc>
          <w:tcPr>
            <w:tcW w:w="4678" w:type="dxa"/>
          </w:tcPr>
          <w:p w14:paraId="7B543E16" w14:textId="14D5530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69DEBBDD" w14:textId="56DF873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20DA0074" w14:textId="58533EF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66501C95" w14:textId="77777777" w:rsidR="006E6F69" w:rsidRPr="00967E7D" w:rsidRDefault="006E6F69" w:rsidP="006E6F69">
            <w:pPr>
              <w:jc w:val="both"/>
              <w:rPr>
                <w:rFonts w:ascii="Times New Roman" w:hAnsi="Times New Roman" w:cs="Times New Roman"/>
                <w:sz w:val="20"/>
                <w:szCs w:val="20"/>
              </w:rPr>
            </w:pPr>
          </w:p>
        </w:tc>
      </w:tr>
      <w:tr w:rsidR="00340628" w14:paraId="474A37B1" w14:textId="77777777" w:rsidTr="00967E7D">
        <w:tc>
          <w:tcPr>
            <w:tcW w:w="4678" w:type="dxa"/>
          </w:tcPr>
          <w:p w14:paraId="33878DEE" w14:textId="0B09ACB3" w:rsidR="00340628" w:rsidRPr="00967E7D" w:rsidRDefault="00340628" w:rsidP="006E6F69">
            <w:pPr>
              <w:jc w:val="both"/>
              <w:rPr>
                <w:rFonts w:ascii="Times New Roman" w:hAnsi="Times New Roman" w:cs="Times New Roman"/>
                <w:sz w:val="20"/>
                <w:szCs w:val="20"/>
              </w:rPr>
            </w:pPr>
            <w:r>
              <w:rPr>
                <w:rFonts w:ascii="Times New Roman" w:hAnsi="Times New Roman" w:cs="Times New Roman"/>
                <w:sz w:val="20"/>
                <w:szCs w:val="20"/>
              </w:rPr>
              <w:t>Proportion of rosettes reaching adulthood in one year</w:t>
            </w:r>
          </w:p>
        </w:tc>
        <w:tc>
          <w:tcPr>
            <w:tcW w:w="992" w:type="dxa"/>
          </w:tcPr>
          <w:p w14:paraId="725CC3D1" w14:textId="77777777" w:rsidR="00340628" w:rsidRPr="00967E7D" w:rsidRDefault="00340628" w:rsidP="006E6F69">
            <w:pPr>
              <w:jc w:val="both"/>
              <w:rPr>
                <w:rFonts w:ascii="Times New Roman" w:hAnsi="Times New Roman" w:cs="Times New Roman"/>
                <w:sz w:val="20"/>
                <w:szCs w:val="20"/>
              </w:rPr>
            </w:pPr>
          </w:p>
        </w:tc>
        <w:tc>
          <w:tcPr>
            <w:tcW w:w="1134" w:type="dxa"/>
          </w:tcPr>
          <w:p w14:paraId="6BD11964" w14:textId="77777777" w:rsidR="00340628" w:rsidRPr="00967E7D" w:rsidRDefault="00340628" w:rsidP="006E6F69">
            <w:pPr>
              <w:jc w:val="both"/>
              <w:rPr>
                <w:rFonts w:ascii="Times New Roman" w:hAnsi="Times New Roman" w:cs="Times New Roman"/>
                <w:sz w:val="20"/>
                <w:szCs w:val="20"/>
              </w:rPr>
            </w:pPr>
          </w:p>
        </w:tc>
        <w:tc>
          <w:tcPr>
            <w:tcW w:w="2551" w:type="dxa"/>
          </w:tcPr>
          <w:p w14:paraId="4FC803E5" w14:textId="77777777" w:rsidR="00340628" w:rsidRPr="00967E7D" w:rsidRDefault="00340628" w:rsidP="006E6F69">
            <w:pPr>
              <w:jc w:val="both"/>
              <w:rPr>
                <w:rFonts w:ascii="Times New Roman" w:hAnsi="Times New Roman" w:cs="Times New Roman"/>
                <w:sz w:val="20"/>
                <w:szCs w:val="20"/>
              </w:rPr>
            </w:pP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3F5D9322"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11.60</w:t>
            </w:r>
          </w:p>
        </w:tc>
        <w:tc>
          <w:tcPr>
            <w:tcW w:w="1134" w:type="dxa"/>
          </w:tcPr>
          <w:p w14:paraId="7307E4CD" w14:textId="53FEB91C"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1B66832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p>
        </w:tc>
        <w:tc>
          <w:tcPr>
            <w:tcW w:w="1134" w:type="dxa"/>
          </w:tcPr>
          <w:p w14:paraId="56C0EC77" w14:textId="5181EE0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4183FCE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Flowering probability</w:t>
            </w:r>
            <w:r w:rsidR="001F3015">
              <w:rPr>
                <w:rFonts w:ascii="Times New Roman" w:hAnsi="Times New Roman" w:cs="Times New Roman"/>
                <w:sz w:val="20"/>
                <w:szCs w:val="20"/>
              </w:rPr>
              <w:t xml:space="preserve"> of adults</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0D2797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2.90</w:t>
            </w:r>
          </w:p>
        </w:tc>
        <w:tc>
          <w:tcPr>
            <w:tcW w:w="1134" w:type="dxa"/>
          </w:tcPr>
          <w:p w14:paraId="28908C6D" w14:textId="1B45CF9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14.50</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71F9552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1FDFB2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92.22</w:t>
            </w:r>
          </w:p>
        </w:tc>
        <w:tc>
          <w:tcPr>
            <w:tcW w:w="1134" w:type="dxa"/>
          </w:tcPr>
          <w:p w14:paraId="65115B1D" w14:textId="4A7BE4A3"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81.63</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2B6E1A3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p>
        </w:tc>
        <w:tc>
          <w:tcPr>
            <w:tcW w:w="1134" w:type="dxa"/>
          </w:tcPr>
          <w:p w14:paraId="37BB760F" w14:textId="5B81C44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77777777" w:rsidR="006E6F69" w:rsidRPr="008D0868" w:rsidRDefault="006E6F69" w:rsidP="006E6F69">
            <w:pPr>
              <w:jc w:val="both"/>
              <w:rPr>
                <w:rFonts w:ascii="Times New Roman" w:hAnsi="Times New Roman" w:cs="Times New Roman"/>
                <w:sz w:val="20"/>
                <w:szCs w:val="20"/>
              </w:rPr>
            </w:pPr>
          </w:p>
        </w:tc>
        <w:tc>
          <w:tcPr>
            <w:tcW w:w="1134" w:type="dxa"/>
          </w:tcPr>
          <w:p w14:paraId="28561344" w14:textId="77777777" w:rsidR="006E6F69" w:rsidRPr="008D0868" w:rsidRDefault="006E6F69" w:rsidP="006E6F69">
            <w:pPr>
              <w:jc w:val="both"/>
              <w:rPr>
                <w:rFonts w:ascii="Times New Roman" w:hAnsi="Times New Roman" w:cs="Times New Roman"/>
                <w:sz w:val="20"/>
                <w:szCs w:val="20"/>
              </w:rPr>
            </w:pP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1F7132F0"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w:t>
            </w:r>
            <w:r w:rsidRPr="008D0868">
              <w:rPr>
                <w:rFonts w:ascii="Times New Roman" w:hAnsi="Times New Roman" w:cs="Times New Roman"/>
                <w:sz w:val="20"/>
                <w:szCs w:val="20"/>
              </w:rPr>
              <w:t xml:space="preserve"> seed terminal velocity (m/s)</w:t>
            </w:r>
          </w:p>
        </w:tc>
        <w:tc>
          <w:tcPr>
            <w:tcW w:w="992" w:type="dxa"/>
          </w:tcPr>
          <w:p w14:paraId="3BA3D71B" w14:textId="77777777" w:rsidR="006E6F69" w:rsidRPr="008D0868" w:rsidRDefault="006E6F69" w:rsidP="006E6F69">
            <w:pPr>
              <w:jc w:val="both"/>
              <w:rPr>
                <w:rFonts w:ascii="Times New Roman" w:hAnsi="Times New Roman" w:cs="Times New Roman"/>
                <w:sz w:val="20"/>
                <w:szCs w:val="20"/>
              </w:rPr>
            </w:pPr>
          </w:p>
        </w:tc>
        <w:tc>
          <w:tcPr>
            <w:tcW w:w="1134" w:type="dxa"/>
          </w:tcPr>
          <w:p w14:paraId="177FEFB7" w14:textId="77777777" w:rsidR="006E6F69" w:rsidRPr="008D0868" w:rsidRDefault="006E6F69" w:rsidP="006E6F69">
            <w:pPr>
              <w:jc w:val="both"/>
              <w:rPr>
                <w:rFonts w:ascii="Times New Roman" w:hAnsi="Times New Roman" w:cs="Times New Roman"/>
                <w:sz w:val="20"/>
                <w:szCs w:val="20"/>
              </w:rPr>
            </w:pP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77777777" w:rsidR="006E6F69" w:rsidRPr="008D0868" w:rsidRDefault="006E6F69" w:rsidP="006E6F69">
            <w:pPr>
              <w:jc w:val="both"/>
              <w:rPr>
                <w:rFonts w:ascii="Times New Roman" w:hAnsi="Times New Roman" w:cs="Times New Roman"/>
                <w:sz w:val="20"/>
                <w:szCs w:val="20"/>
              </w:rPr>
            </w:pPr>
          </w:p>
        </w:tc>
        <w:tc>
          <w:tcPr>
            <w:tcW w:w="1134" w:type="dxa"/>
          </w:tcPr>
          <w:p w14:paraId="1DE24AD7" w14:textId="77777777" w:rsidR="006E6F69" w:rsidRPr="008D0868" w:rsidRDefault="006E6F69" w:rsidP="006E6F69">
            <w:pPr>
              <w:jc w:val="both"/>
              <w:rPr>
                <w:rFonts w:ascii="Times New Roman" w:hAnsi="Times New Roman" w:cs="Times New Roman"/>
                <w:sz w:val="20"/>
                <w:szCs w:val="20"/>
              </w:rPr>
            </w:pP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1D38A741"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 xml:space="preserve">SD wind speed </w:t>
            </w:r>
            <w:r>
              <w:rPr>
                <w:rFonts w:ascii="Times New Roman" w:hAnsi="Times New Roman" w:cs="Times New Roman"/>
                <w:sz w:val="20"/>
                <w:szCs w:val="20"/>
              </w:rPr>
              <w:t>(m/s)</w:t>
            </w:r>
          </w:p>
        </w:tc>
        <w:tc>
          <w:tcPr>
            <w:tcW w:w="992" w:type="dxa"/>
          </w:tcPr>
          <w:p w14:paraId="2759E82C" w14:textId="77777777" w:rsidR="006E6F69" w:rsidRPr="008D0868" w:rsidRDefault="006E6F69" w:rsidP="006E6F69">
            <w:pPr>
              <w:jc w:val="both"/>
              <w:rPr>
                <w:rFonts w:ascii="Times New Roman" w:hAnsi="Times New Roman" w:cs="Times New Roman"/>
                <w:sz w:val="20"/>
                <w:szCs w:val="20"/>
              </w:rPr>
            </w:pPr>
          </w:p>
        </w:tc>
        <w:tc>
          <w:tcPr>
            <w:tcW w:w="1134" w:type="dxa"/>
          </w:tcPr>
          <w:p w14:paraId="3F2CA36C" w14:textId="77777777" w:rsidR="006E6F69" w:rsidRPr="008D0868" w:rsidRDefault="006E6F69" w:rsidP="006E6F69">
            <w:pPr>
              <w:jc w:val="both"/>
              <w:rPr>
                <w:rFonts w:ascii="Times New Roman" w:hAnsi="Times New Roman" w:cs="Times New Roman"/>
                <w:sz w:val="20"/>
                <w:szCs w:val="20"/>
              </w:rPr>
            </w:pP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w:t>
            </w:r>
            <w:r>
              <w:rPr>
                <w:rFonts w:ascii="Times New Roman" w:hAnsi="Times New Roman" w:cs="Times New Roman"/>
                <w:sz w:val="20"/>
                <w:szCs w:val="20"/>
              </w:rPr>
              <w:t xml:space="preserve"> (m)</w:t>
            </w:r>
          </w:p>
        </w:tc>
        <w:tc>
          <w:tcPr>
            <w:tcW w:w="992" w:type="dxa"/>
          </w:tcPr>
          <w:p w14:paraId="5199A0C3" w14:textId="30665B5E"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1134" w:type="dxa"/>
          </w:tcPr>
          <w:p w14:paraId="0DB92E69" w14:textId="2CC931DF"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Note: this is straight out of my other paper. Placeholder for now, but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6-10T09:16:00Z" w:initials="TD">
    <w:p w14:paraId="1D32AE8F" w14:textId="3BB127E4" w:rsidR="000C3469" w:rsidRDefault="000C3469">
      <w:pPr>
        <w:pStyle w:val="CommentText"/>
      </w:pPr>
      <w:r>
        <w:rPr>
          <w:rStyle w:val="CommentReference"/>
        </w:rPr>
        <w:annotationRef/>
      </w:r>
      <w:r>
        <w:t>Need to change the wording and structure of this section, as it is identical to one of my other papers.</w:t>
      </w:r>
    </w:p>
  </w:comment>
  <w:comment w:id="3" w:author="Trevor D." w:date="2021-03-03T11:31:00Z" w:initials="TD">
    <w:p w14:paraId="253F0753" w14:textId="77777777" w:rsidR="000C3469" w:rsidRDefault="000C3469" w:rsidP="000C3469">
      <w:pPr>
        <w:pStyle w:val="CommentText"/>
      </w:pPr>
      <w:r>
        <w:rPr>
          <w:rStyle w:val="CommentReference"/>
        </w:rPr>
        <w:annotationRef/>
      </w:r>
      <w:r>
        <w:t>This equation, as well as the ones that follow, will eventually be labelled.</w:t>
      </w:r>
    </w:p>
  </w:comment>
  <w:comment w:id="4" w:author="Trevor D." w:date="2021-06-10T09:16:00Z" w:initials="TD">
    <w:p w14:paraId="3AE3E6BA" w14:textId="77777777" w:rsidR="00CC7C15" w:rsidRDefault="00CC7C15" w:rsidP="00CC7C15">
      <w:pPr>
        <w:pStyle w:val="CommentText"/>
      </w:pPr>
      <w:r>
        <w:rPr>
          <w:rStyle w:val="CommentReference"/>
        </w:rPr>
        <w:annotationRef/>
      </w:r>
      <w:r>
        <w:t>Need to change the wording and structure of this section, as it is identical to one of my other papers.</w:t>
      </w:r>
    </w:p>
  </w:comment>
  <w:comment w:id="5"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1D32AE8F" w15:done="0"/>
  <w15:commentEx w15:paraId="253F0753" w15:done="0"/>
  <w15:commentEx w15:paraId="3AE3E6BA"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6C56EF" w16cex:dateUtc="2021-06-10T13:16:00Z"/>
  <w16cex:commentExtensible w16cex:durableId="23E9F20F" w16cex:dateUtc="2021-03-03T16:31:00Z"/>
  <w16cex:commentExtensible w16cex:durableId="249D92F0" w16cex:dateUtc="2021-06-10T13:1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1D32AE8F" w16cid:durableId="246C56EF"/>
  <w16cid:commentId w16cid:paraId="253F0753" w16cid:durableId="23E9F20F"/>
  <w16cid:commentId w16cid:paraId="3AE3E6BA" w16cid:durableId="249D92F0"/>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641A9"/>
    <w:rsid w:val="000A1316"/>
    <w:rsid w:val="000C3469"/>
    <w:rsid w:val="000E45E7"/>
    <w:rsid w:val="000E79E9"/>
    <w:rsid w:val="00161C1A"/>
    <w:rsid w:val="001C59E2"/>
    <w:rsid w:val="001D421E"/>
    <w:rsid w:val="001E25F7"/>
    <w:rsid w:val="001F3015"/>
    <w:rsid w:val="00226FD9"/>
    <w:rsid w:val="0026673F"/>
    <w:rsid w:val="00301546"/>
    <w:rsid w:val="003202DB"/>
    <w:rsid w:val="00340628"/>
    <w:rsid w:val="00351E3F"/>
    <w:rsid w:val="00394968"/>
    <w:rsid w:val="003A7441"/>
    <w:rsid w:val="003D3274"/>
    <w:rsid w:val="0041092C"/>
    <w:rsid w:val="004238AB"/>
    <w:rsid w:val="00465C24"/>
    <w:rsid w:val="00473CA1"/>
    <w:rsid w:val="004C786F"/>
    <w:rsid w:val="004D3DE6"/>
    <w:rsid w:val="004F4059"/>
    <w:rsid w:val="00543FD8"/>
    <w:rsid w:val="00552D12"/>
    <w:rsid w:val="005709D2"/>
    <w:rsid w:val="005A7962"/>
    <w:rsid w:val="005C7838"/>
    <w:rsid w:val="005D0834"/>
    <w:rsid w:val="00682EB7"/>
    <w:rsid w:val="006C1A80"/>
    <w:rsid w:val="006E6F69"/>
    <w:rsid w:val="0070466A"/>
    <w:rsid w:val="00753C9C"/>
    <w:rsid w:val="007A6419"/>
    <w:rsid w:val="007F461D"/>
    <w:rsid w:val="007F5339"/>
    <w:rsid w:val="0080292A"/>
    <w:rsid w:val="008C2FB6"/>
    <w:rsid w:val="008D0868"/>
    <w:rsid w:val="00935766"/>
    <w:rsid w:val="00936C0D"/>
    <w:rsid w:val="00942ED8"/>
    <w:rsid w:val="00967E7D"/>
    <w:rsid w:val="00991A4C"/>
    <w:rsid w:val="00993101"/>
    <w:rsid w:val="009C1FCD"/>
    <w:rsid w:val="009F79FF"/>
    <w:rsid w:val="00A13166"/>
    <w:rsid w:val="00A2154B"/>
    <w:rsid w:val="00A57FBD"/>
    <w:rsid w:val="00A61D95"/>
    <w:rsid w:val="00A739D7"/>
    <w:rsid w:val="00AC4A67"/>
    <w:rsid w:val="00AF12DA"/>
    <w:rsid w:val="00B935C4"/>
    <w:rsid w:val="00BC5BA7"/>
    <w:rsid w:val="00C87CE5"/>
    <w:rsid w:val="00CC16C9"/>
    <w:rsid w:val="00CC5315"/>
    <w:rsid w:val="00CC70FE"/>
    <w:rsid w:val="00CC7C15"/>
    <w:rsid w:val="00D40E15"/>
    <w:rsid w:val="00D63262"/>
    <w:rsid w:val="00D7434F"/>
    <w:rsid w:val="00D84E01"/>
    <w:rsid w:val="00D966EB"/>
    <w:rsid w:val="00DB4305"/>
    <w:rsid w:val="00E0434D"/>
    <w:rsid w:val="00E50BD6"/>
    <w:rsid w:val="00E9755D"/>
    <w:rsid w:val="00EA1F0D"/>
    <w:rsid w:val="00EE4CB8"/>
    <w:rsid w:val="00F92AE6"/>
    <w:rsid w:val="00F94CB8"/>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16247</TotalTime>
  <Pages>9</Pages>
  <Words>3725</Words>
  <Characters>21237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36</cp:revision>
  <dcterms:created xsi:type="dcterms:W3CDTF">2021-05-28T18:54:00Z</dcterms:created>
  <dcterms:modified xsi:type="dcterms:W3CDTF">2021-07-17T23:44:00Z</dcterms:modified>
</cp:coreProperties>
</file>