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8218" w14:textId="47A31CC3" w:rsidR="008E0941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 w:rsidR="00D735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Shea, 2020.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2534069B" w14:textId="57EE3F13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6A2C7" w14:textId="58699C4E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354">
        <w:rPr>
          <w:rFonts w:ascii="Times New Roman" w:hAnsi="Times New Roman" w:cs="Times New Roman"/>
          <w:sz w:val="24"/>
          <w:szCs w:val="24"/>
        </w:rPr>
        <w:t>Alternative representation of Figure 1 with bootstrapped probability density superimposed on observed data, and error bands removed for clarity.</w:t>
      </w:r>
    </w:p>
    <w:p w14:paraId="2F49963F" w14:textId="77777777" w:rsidR="00646A62" w:rsidRPr="00646A62" w:rsidRDefault="00646A62" w:rsidP="00646A6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067" w14:textId="143513D1" w:rsidR="00CD16CB" w:rsidRDefault="00CD16CB">
      <w:r>
        <w:rPr>
          <w:noProof/>
        </w:rPr>
        <w:drawing>
          <wp:inline distT="0" distB="0" distL="0" distR="0" wp14:anchorId="72F310DF" wp14:editId="671B166E">
            <wp:extent cx="6084000" cy="4194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41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B05F" w14:textId="3437979A" w:rsidR="00CD16CB" w:rsidRPr="00CD16CB" w:rsidRDefault="00CD16CB" w:rsidP="00302354">
      <w:pPr>
        <w:jc w:val="both"/>
        <w:rPr>
          <w:rFonts w:ascii="Times New Roman" w:hAnsi="Times New Roman" w:cs="Times New Roman"/>
          <w:sz w:val="24"/>
          <w:szCs w:val="24"/>
        </w:rPr>
      </w:pPr>
      <w:r w:rsidRPr="00CD16CB">
        <w:rPr>
          <w:rFonts w:ascii="Times New Roman" w:hAnsi="Times New Roman" w:cs="Times New Roman"/>
          <w:b/>
          <w:bCs/>
          <w:sz w:val="24"/>
          <w:szCs w:val="24"/>
        </w:rPr>
        <w:t>Figure S1.</w:t>
      </w:r>
      <w:r w:rsidRPr="00CD16CB">
        <w:rPr>
          <w:rFonts w:ascii="Times New Roman" w:hAnsi="Times New Roman" w:cs="Times New Roman"/>
          <w:sz w:val="24"/>
          <w:szCs w:val="24"/>
        </w:rPr>
        <w:t xml:space="preserve"> </w:t>
      </w:r>
      <w:r w:rsidRPr="00CD16CB">
        <w:rPr>
          <w:rFonts w:ascii="Times New Roman" w:hAnsi="Times New Roman" w:cs="Times New Roman"/>
          <w:sz w:val="24"/>
          <w:szCs w:val="24"/>
        </w:rPr>
        <w:t xml:space="preserve">Distribution of flower head heights for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Pr="00CD16CB">
        <w:rPr>
          <w:rFonts w:ascii="Times New Roman" w:hAnsi="Times New Roman" w:cs="Times New Roman"/>
          <w:sz w:val="24"/>
          <w:szCs w:val="24"/>
        </w:rPr>
        <w:t xml:space="preserve"> and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Pr="00CD16CB"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Pr="00CD16CB">
        <w:rPr>
          <w:rFonts w:ascii="Times New Roman" w:hAnsi="Times New Roman" w:cs="Times New Roman"/>
          <w:sz w:val="24"/>
          <w:szCs w:val="24"/>
        </w:rPr>
        <w:t xml:space="preserve"> under the control and warming treatments. Solid lines indicate mean probability density for a given height, and </w:t>
      </w:r>
      <w:r w:rsidRPr="00CD16CB">
        <w:rPr>
          <w:rFonts w:ascii="Times New Roman" w:hAnsi="Times New Roman" w:cs="Times New Roman"/>
          <w:sz w:val="24"/>
          <w:szCs w:val="24"/>
        </w:rPr>
        <w:t>bars indicate observed frequencies of flower head heights.</w:t>
      </w:r>
    </w:p>
    <w:sectPr w:rsidR="00CD16CB" w:rsidRPr="00C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6CB"/>
    <w:rsid w:val="001B1B43"/>
    <w:rsid w:val="002B3B46"/>
    <w:rsid w:val="00302354"/>
    <w:rsid w:val="00646A62"/>
    <w:rsid w:val="007C313F"/>
    <w:rsid w:val="008E0941"/>
    <w:rsid w:val="00A17E7C"/>
    <w:rsid w:val="00CD16CB"/>
    <w:rsid w:val="00D73578"/>
    <w:rsid w:val="00E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A9A"/>
  <w15:chartTrackingRefBased/>
  <w15:docId w15:val="{E4B37FFC-22B9-4295-B30D-1A3ACB6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1</cp:revision>
  <dcterms:created xsi:type="dcterms:W3CDTF">2022-10-15T16:52:00Z</dcterms:created>
  <dcterms:modified xsi:type="dcterms:W3CDTF">2022-10-15T17:34:00Z</dcterms:modified>
</cp:coreProperties>
</file>