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0FBE2B80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54E32E69" w14:textId="09174674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Brief description of methodology used to estimate invasion wavespeeds, and tables for select wavespeed 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62D2E664" w14:textId="4A5AF588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demographic models used in the wavespeed 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invasion speeds</w:t>
      </w:r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9B7F58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4829FEE7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Demographic rates used </w:t>
      </w:r>
      <w:r>
        <w:rPr>
          <w:rFonts w:ascii="Times New Roman" w:hAnsi="Times New Roman" w:cs="Times New Roman"/>
          <w:sz w:val="24"/>
          <w:szCs w:val="24"/>
        </w:rPr>
        <w:t>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</w:t>
      </w:r>
      <w:r w:rsidR="00B46B3E">
        <w:rPr>
          <w:rFonts w:ascii="Times New Roman" w:hAnsi="Times New Roman" w:cs="Times New Roman"/>
          <w:sz w:val="24"/>
          <w:szCs w:val="24"/>
        </w:rPr>
        <w:t>probability</w:t>
      </w:r>
      <w:r w:rsidR="00B46B3E">
        <w:rPr>
          <w:rFonts w:ascii="Times New Roman" w:hAnsi="Times New Roman" w:cs="Times New Roman"/>
          <w:sz w:val="24"/>
          <w:szCs w:val="24"/>
        </w:rPr>
        <w:t xml:space="preserve">, medium plants 20-80% flowering </w:t>
      </w:r>
      <w:r w:rsidR="00B46B3E">
        <w:rPr>
          <w:rFonts w:ascii="Times New Roman" w:hAnsi="Times New Roman" w:cs="Times New Roman"/>
          <w:sz w:val="24"/>
          <w:szCs w:val="24"/>
        </w:rPr>
        <w:t>probability</w:t>
      </w:r>
      <w:r w:rsidR="00B46B3E">
        <w:rPr>
          <w:rFonts w:ascii="Times New Roman" w:hAnsi="Times New Roman" w:cs="Times New Roman"/>
          <w:sz w:val="24"/>
          <w:szCs w:val="24"/>
        </w:rPr>
        <w:t xml:space="preserve">, and large plants &gt;80% flowering </w:t>
      </w:r>
      <w:r w:rsidR="00B46B3E">
        <w:rPr>
          <w:rFonts w:ascii="Times New Roman" w:hAnsi="Times New Roman" w:cs="Times New Roman"/>
          <w:sz w:val="24"/>
          <w:szCs w:val="24"/>
        </w:rPr>
        <w:t>probability</w:t>
      </w:r>
      <w:r w:rsidR="00B46B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>, allowing for reproductive 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0EF1F7C7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 flower head heights rather than a single point source,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Spread Models</w:t>
      </w:r>
    </w:p>
    <w:p w14:paraId="6072E775" w14:textId="0287BCD3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>, based on the wavespeed 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>Movement of the population was modelled as a travelling 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894DB2">
        <w:rPr>
          <w:rFonts w:ascii="Times New Roman" w:hAnsi="Times New Roman" w:cs="Times New Roman"/>
          <w:sz w:val="24"/>
          <w:szCs w:val="24"/>
        </w:rPr>
        <w:t>but</w:t>
      </w:r>
      <w:r w:rsidR="00BA6FB4">
        <w:rPr>
          <w:rFonts w:ascii="Times New Roman" w:hAnsi="Times New Roman" w:cs="Times New Roman"/>
          <w:sz w:val="24"/>
          <w:szCs w:val="24"/>
        </w:rPr>
        <w:t xml:space="preserve"> 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</w:t>
      </w:r>
      <w:r w:rsidR="00894DB2">
        <w:rPr>
          <w:rFonts w:ascii="Times New Roman" w:hAnsi="Times New Roman" w:cs="Times New Roman"/>
          <w:sz w:val="24"/>
          <w:szCs w:val="24"/>
        </w:rPr>
        <w:lastRenderedPageBreak/>
        <w:t>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63A44ED3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∘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w:r w:rsidR="00D24CE2" w:rsidRPr="0021760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wavespeed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can then be found by minimizing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D24CE2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531727D3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warmed/unwarmed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1FACD983" w:rsidR="00EA44E1" w:rsidRDefault="00EA44E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Jongejans, E., Shea, K., Skarpaas, O., Kelly, D., Sheppard, A. W., &amp; Woodburn, T. 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F97609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Jongejans, E., &amp; Shea, K. (2011). Warming increases the spread of an invasive thistle.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40834516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unwarmed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852660">
        <w:tc>
          <w:tcPr>
            <w:tcW w:w="1418" w:type="dxa"/>
            <w:tcBorders>
              <w:bottom w:val="single" w:sz="18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18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Unwarmed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852660"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52E7528C" w14:textId="7CDF572F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18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71385C78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small rosettes (S)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1A406DF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median rosettes (M)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34C6844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large rosettes (L)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52DF1A2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67CF9D7C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Mean and median simulated wavespeeds 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with lower/upper values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wavespeeds accounting for only the warming-induced increase in distributed or maximum flower height, while the “all demographic shifts” grouping contains the aforementioned 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F31942">
        <w:tc>
          <w:tcPr>
            <w:tcW w:w="1701" w:type="dxa"/>
            <w:tcBorders>
              <w:bottom w:val="single" w:sz="18" w:space="0" w:color="auto"/>
            </w:tcBorders>
          </w:tcPr>
          <w:p w14:paraId="33F78DE4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9A233E" w:rsidRPr="00B65D15" w14:paraId="2CB59190" w14:textId="77777777" w:rsidTr="00F31942">
        <w:tc>
          <w:tcPr>
            <w:tcW w:w="5103" w:type="dxa"/>
            <w:gridSpan w:val="3"/>
            <w:tcBorders>
              <w:top w:val="single" w:sz="18" w:space="0" w:color="auto"/>
            </w:tcBorders>
          </w:tcPr>
          <w:p w14:paraId="60621404" w14:textId="6822F0CC" w:rsidR="009A233E" w:rsidRPr="00B65D15" w:rsidRDefault="00A048D1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2DA6C0A9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7139D9C0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53638A18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01BA7937" w14:textId="77777777" w:rsidTr="00F31942">
        <w:tc>
          <w:tcPr>
            <w:tcW w:w="1701" w:type="dxa"/>
          </w:tcPr>
          <w:p w14:paraId="4C9E08CB" w14:textId="05FAC57D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</w:tcPr>
          <w:p w14:paraId="33B95249" w14:textId="67E583D5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79679AF" w14:textId="7DE3307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2C70D23" w14:textId="6795EE4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94FB407" w14:textId="5E290AF3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1720434" w14:textId="77777777" w:rsidTr="00F31942">
        <w:tc>
          <w:tcPr>
            <w:tcW w:w="1701" w:type="dxa"/>
          </w:tcPr>
          <w:p w14:paraId="3A777FFA" w14:textId="00770B9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Unwarmed</w:t>
            </w:r>
          </w:p>
        </w:tc>
        <w:tc>
          <w:tcPr>
            <w:tcW w:w="1701" w:type="dxa"/>
          </w:tcPr>
          <w:p w14:paraId="56FF7F43" w14:textId="65B7918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2C214BE" w14:textId="57BD52E0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AA289FA" w14:textId="7879123B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940434" w14:textId="0E9B578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6ABD2EF6" w14:textId="77777777" w:rsidTr="0001121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F31942">
        <w:tc>
          <w:tcPr>
            <w:tcW w:w="5103" w:type="dxa"/>
            <w:gridSpan w:val="3"/>
            <w:tcBorders>
              <w:top w:val="single" w:sz="8" w:space="0" w:color="auto"/>
            </w:tcBorders>
          </w:tcPr>
          <w:p w14:paraId="76BF73B9" w14:textId="52AB7FF5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F31942">
        <w:tc>
          <w:tcPr>
            <w:tcW w:w="1701" w:type="dxa"/>
          </w:tcPr>
          <w:p w14:paraId="2DDA0823" w14:textId="3F9F5E4E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C9744B7" w14:textId="640B884E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233D71B" w14:textId="1429A88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9CFEA3F" w14:textId="41BD3F1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85A38A4" w14:textId="2EEC7E7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46692A2" w14:textId="77777777" w:rsidTr="00A048D1">
        <w:tc>
          <w:tcPr>
            <w:tcW w:w="1701" w:type="dxa"/>
          </w:tcPr>
          <w:p w14:paraId="6E6F425D" w14:textId="27B91943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7572598" w14:textId="32F109A3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3549EA6C" w14:textId="47663B35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FB2FF88" w14:textId="6BD4379C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101FD7E" w14:textId="1D33EB3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00A35D5" w14:textId="77777777" w:rsidTr="00A048D1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A048D1">
        <w:tc>
          <w:tcPr>
            <w:tcW w:w="5103" w:type="dxa"/>
            <w:gridSpan w:val="3"/>
            <w:tcBorders>
              <w:top w:val="single" w:sz="4" w:space="0" w:color="auto"/>
            </w:tcBorders>
          </w:tcPr>
          <w:p w14:paraId="0F0463B7" w14:textId="1D57E03F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6C92D3D5" w14:textId="77777777" w:rsidTr="00F31942">
        <w:tc>
          <w:tcPr>
            <w:tcW w:w="1701" w:type="dxa"/>
          </w:tcPr>
          <w:p w14:paraId="2EFB4758" w14:textId="57D58518" w:rsidR="00A048D1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78ECD70D" w14:textId="355FC728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10316FE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E95DF1F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69D81BA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38691C3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785955ED" w14:textId="77777777" w:rsidTr="00F31942">
        <w:tc>
          <w:tcPr>
            <w:tcW w:w="1701" w:type="dxa"/>
          </w:tcPr>
          <w:p w14:paraId="0994C573" w14:textId="16425D5C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2B677FA8" w14:textId="0B045A6E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C991052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713EDC8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96034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0076FD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E1831"/>
    <w:rsid w:val="001427CD"/>
    <w:rsid w:val="001B1B43"/>
    <w:rsid w:val="001C35E5"/>
    <w:rsid w:val="001F22DE"/>
    <w:rsid w:val="00210FE4"/>
    <w:rsid w:val="00217609"/>
    <w:rsid w:val="00261C08"/>
    <w:rsid w:val="002D569B"/>
    <w:rsid w:val="00374AFC"/>
    <w:rsid w:val="004D759B"/>
    <w:rsid w:val="0050487D"/>
    <w:rsid w:val="00555CF2"/>
    <w:rsid w:val="00682E8E"/>
    <w:rsid w:val="006E18A1"/>
    <w:rsid w:val="007A6EC6"/>
    <w:rsid w:val="007C313F"/>
    <w:rsid w:val="0082156C"/>
    <w:rsid w:val="00852660"/>
    <w:rsid w:val="00894DB2"/>
    <w:rsid w:val="008E0941"/>
    <w:rsid w:val="008E6BCC"/>
    <w:rsid w:val="00913D21"/>
    <w:rsid w:val="009561E7"/>
    <w:rsid w:val="009A233E"/>
    <w:rsid w:val="009A3143"/>
    <w:rsid w:val="009B7F58"/>
    <w:rsid w:val="00A048D1"/>
    <w:rsid w:val="00A17E7C"/>
    <w:rsid w:val="00A974FF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B63E8"/>
    <w:rsid w:val="00EA44E1"/>
    <w:rsid w:val="00EF220D"/>
    <w:rsid w:val="00F31942"/>
    <w:rsid w:val="00F464E5"/>
    <w:rsid w:val="00F5208F"/>
    <w:rsid w:val="00F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6</cp:revision>
  <dcterms:created xsi:type="dcterms:W3CDTF">2023-04-01T16:35:00Z</dcterms:created>
  <dcterms:modified xsi:type="dcterms:W3CDTF">2023-04-01T20:22:00Z</dcterms:modified>
</cp:coreProperties>
</file>