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79F85975" w14:textId="03DA36CA" w:rsidR="00F95BD7" w:rsidRPr="000A064E" w:rsidRDefault="003E2536" w:rsidP="00F95BD7">
      <w:pPr>
        <w:spacing w:after="120" w:line="24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el</w:t>
      </w:r>
      <w:r w:rsidR="00B204DB">
        <w:rPr>
          <w:rFonts w:ascii="Times New Roman" w:hAnsi="Times New Roman" w:cs="Times New Roman"/>
          <w:sz w:val="24"/>
          <w:szCs w:val="24"/>
        </w:rPr>
        <w:t>ai</w:t>
      </w:r>
      <w:r w:rsidRPr="000A064E">
        <w:rPr>
          <w:rFonts w:ascii="Times New Roman" w:hAnsi="Times New Roman" w:cs="Times New Roman"/>
          <w:sz w:val="24"/>
          <w:szCs w:val="24"/>
        </w:rPr>
        <w:t>osome-bearing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F95BD7">
      <w:pPr>
        <w:spacing w:after="120" w:line="240" w:lineRule="auto"/>
        <w:jc w:val="both"/>
        <w:rPr>
          <w:rFonts w:ascii="Times New Roman" w:hAnsi="Times New Roman" w:cs="Times New Roman"/>
          <w:b/>
          <w:bCs/>
          <w:sz w:val="24"/>
          <w:szCs w:val="24"/>
        </w:rPr>
      </w:pPr>
    </w:p>
    <w:p w14:paraId="4FC38F14"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1C54CAC2" w14:textId="3FCEB44E" w:rsidR="00F95BD7" w:rsidRDefault="00F95BD7" w:rsidP="00F95BD7">
      <w:pPr>
        <w:spacing w:after="120" w:line="240" w:lineRule="auto"/>
        <w:jc w:val="both"/>
        <w:rPr>
          <w:rFonts w:ascii="Times New Roman" w:hAnsi="Times New Roman" w:cs="Times New Roman"/>
          <w:sz w:val="24"/>
          <w:szCs w:val="24"/>
        </w:rPr>
      </w:pPr>
      <w:r w:rsidRPr="001B5ACB">
        <w:rPr>
          <w:rFonts w:ascii="Times New Roman" w:hAnsi="Times New Roman" w:cs="Times New Roman"/>
          <w:sz w:val="24"/>
          <w:szCs w:val="24"/>
        </w:rPr>
        <w:t>Trevor 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Katriona Shea</w:t>
      </w:r>
      <w:r w:rsidRPr="001B5ACB">
        <w:rPr>
          <w:rFonts w:ascii="Times New Roman" w:hAnsi="Times New Roman" w:cs="Times New Roman"/>
          <w:sz w:val="24"/>
          <w:szCs w:val="24"/>
          <w:vertAlign w:val="superscript"/>
        </w:rPr>
        <w:t>1</w:t>
      </w:r>
    </w:p>
    <w:p w14:paraId="7BF33BCE" w14:textId="77777777" w:rsidR="00F95BD7" w:rsidRDefault="00F95BD7" w:rsidP="00F95BD7">
      <w:pPr>
        <w:spacing w:after="120" w:line="240" w:lineRule="auto"/>
        <w:jc w:val="both"/>
        <w:rPr>
          <w:rFonts w:ascii="Times New Roman" w:hAnsi="Times New Roman" w:cs="Times New Roman"/>
          <w:sz w:val="24"/>
          <w:szCs w:val="24"/>
        </w:rPr>
      </w:pPr>
    </w:p>
    <w:p w14:paraId="3D4A4B0B" w14:textId="77777777" w:rsidR="00F95BD7" w:rsidRDefault="00F95BD7" w:rsidP="00F95BD7">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62DAC8D" w14:textId="77AD2B36" w:rsidR="00F95BD7" w:rsidRDefault="00F95BD7" w:rsidP="00F95BD7">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495FAB94" w14:textId="24B0B54C" w:rsidR="00AB39EF" w:rsidRDefault="00AB39EF" w:rsidP="00F95BD7">
      <w:pPr>
        <w:spacing w:after="120" w:line="240" w:lineRule="auto"/>
        <w:jc w:val="both"/>
        <w:rPr>
          <w:rFonts w:ascii="Times New Roman" w:hAnsi="Times New Roman" w:cs="Times New Roman"/>
          <w:sz w:val="24"/>
          <w:szCs w:val="24"/>
        </w:rPr>
      </w:pPr>
    </w:p>
    <w:p w14:paraId="0AB07A10" w14:textId="36633D11" w:rsidR="00AB39EF" w:rsidRDefault="00AB39EF" w:rsidP="00AB39EF">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2F477BEC" w14:textId="6748FBD1" w:rsidR="00AB39EF" w:rsidRPr="00AB39EF" w:rsidRDefault="00AB39EF" w:rsidP="00AB39EF">
      <w:pPr>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Carduus acanthoides</w:t>
      </w:r>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A50152">
      <w:pPr>
        <w:spacing w:line="240" w:lineRule="auto"/>
        <w:jc w:val="both"/>
        <w:rPr>
          <w:rFonts w:ascii="Times New Roman" w:hAnsi="Times New Roman" w:cs="Times New Roman"/>
          <w:b/>
          <w:bCs/>
          <w:sz w:val="24"/>
          <w:szCs w:val="24"/>
        </w:rPr>
      </w:pPr>
    </w:p>
    <w:p w14:paraId="053DDA4F" w14:textId="3E893ACD" w:rsidR="00A50152" w:rsidRDefault="00951781"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06FB8501" w14:textId="19C19A17" w:rsidR="00A50152" w:rsidRPr="005955CF" w:rsidRDefault="005955CF" w:rsidP="00C550A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Ants and other insects are often a</w:t>
      </w:r>
      <w:r w:rsidR="00FE1266">
        <w:rPr>
          <w:rFonts w:ascii="Times New Roman" w:hAnsi="Times New Roman" w:cs="Times New Roman"/>
          <w:sz w:val="24"/>
          <w:szCs w:val="24"/>
        </w:rPr>
        <w:t xml:space="preserve"> </w:t>
      </w:r>
      <w:r>
        <w:rPr>
          <w:rFonts w:ascii="Times New Roman" w:hAnsi="Times New Roman" w:cs="Times New Roman"/>
          <w:sz w:val="24"/>
          <w:szCs w:val="24"/>
        </w:rPr>
        <w:t xml:space="preserve">source of localised secondary dispersal for </w:t>
      </w:r>
      <w:r w:rsidR="009847B2">
        <w:rPr>
          <w:rFonts w:ascii="Times New Roman" w:hAnsi="Times New Roman" w:cs="Times New Roman"/>
          <w:sz w:val="24"/>
          <w:szCs w:val="24"/>
        </w:rPr>
        <w:t xml:space="preserve">wind-dispersed </w:t>
      </w:r>
      <w:r>
        <w:rPr>
          <w:rFonts w:ascii="Times New Roman" w:hAnsi="Times New Roman" w:cs="Times New Roman"/>
          <w:sz w:val="24"/>
          <w:szCs w:val="24"/>
        </w:rPr>
        <w:t>plants</w:t>
      </w:r>
      <w:r w:rsidR="006729A6">
        <w:rPr>
          <w:rFonts w:ascii="Times New Roman" w:hAnsi="Times New Roman" w:cs="Times New Roman"/>
          <w:sz w:val="24"/>
          <w:szCs w:val="24"/>
        </w:rPr>
        <w:t>,</w:t>
      </w:r>
      <w:r>
        <w:rPr>
          <w:rFonts w:ascii="Times New Roman" w:hAnsi="Times New Roman" w:cs="Times New Roman"/>
          <w:sz w:val="24"/>
          <w:szCs w:val="24"/>
        </w:rPr>
        <w:t xml:space="preserve"> and </w:t>
      </w:r>
      <w:r w:rsidR="006729A6">
        <w:rPr>
          <w:rFonts w:ascii="Times New Roman" w:hAnsi="Times New Roman" w:cs="Times New Roman"/>
          <w:sz w:val="24"/>
          <w:szCs w:val="24"/>
        </w:rPr>
        <w:t xml:space="preserve">thus </w:t>
      </w:r>
      <w:r>
        <w:rPr>
          <w:rFonts w:ascii="Times New Roman" w:hAnsi="Times New Roman" w:cs="Times New Roman"/>
          <w:sz w:val="24"/>
          <w:szCs w:val="24"/>
        </w:rPr>
        <w:t xml:space="preserve">play an important ecological role in </w:t>
      </w:r>
      <w:r w:rsidR="006729A6">
        <w:rPr>
          <w:rFonts w:ascii="Times New Roman" w:hAnsi="Times New Roman" w:cs="Times New Roman"/>
          <w:sz w:val="24"/>
          <w:szCs w:val="24"/>
        </w:rPr>
        <w:t xml:space="preserve">their spatial dynamics. However, </w:t>
      </w:r>
      <w:r>
        <w:rPr>
          <w:rFonts w:ascii="Times New Roman" w:hAnsi="Times New Roman" w:cs="Times New Roman"/>
          <w:sz w:val="24"/>
          <w:szCs w:val="24"/>
        </w:rPr>
        <w:t xml:space="preserve">there is limited information </w:t>
      </w:r>
      <w:r w:rsidR="00FE1266">
        <w:rPr>
          <w:rFonts w:ascii="Times New Roman" w:hAnsi="Times New Roman" w:cs="Times New Roman"/>
          <w:sz w:val="24"/>
          <w:szCs w:val="24"/>
        </w:rPr>
        <w:t xml:space="preserve">on </w:t>
      </w:r>
      <w:r>
        <w:rPr>
          <w:rFonts w:ascii="Times New Roman" w:hAnsi="Times New Roman" w:cs="Times New Roman"/>
          <w:sz w:val="24"/>
          <w:szCs w:val="24"/>
        </w:rPr>
        <w:t xml:space="preserve">how climate change will affect </w:t>
      </w:r>
      <w:r w:rsidR="00F7714B">
        <w:rPr>
          <w:rFonts w:ascii="Times New Roman" w:hAnsi="Times New Roman" w:cs="Times New Roman"/>
          <w:sz w:val="24"/>
          <w:szCs w:val="24"/>
        </w:rPr>
        <w:t>such</w:t>
      </w:r>
      <w:r w:rsidR="00D90B9C">
        <w:rPr>
          <w:rFonts w:ascii="Times New Roman" w:hAnsi="Times New Roman" w:cs="Times New Roman"/>
          <w:sz w:val="24"/>
          <w:szCs w:val="24"/>
        </w:rPr>
        <w:t xml:space="preserve"> </w:t>
      </w:r>
      <w:r w:rsidR="006030AB">
        <w:rPr>
          <w:rFonts w:ascii="Times New Roman" w:hAnsi="Times New Roman" w:cs="Times New Roman"/>
          <w:sz w:val="24"/>
          <w:szCs w:val="24"/>
        </w:rPr>
        <w:t>dispersal processes</w:t>
      </w:r>
      <w:r w:rsidR="00860960">
        <w:rPr>
          <w:rFonts w:ascii="Times New Roman" w:hAnsi="Times New Roman" w:cs="Times New Roman"/>
          <w:sz w:val="24"/>
          <w:szCs w:val="24"/>
        </w:rPr>
        <w:t>.</w:t>
      </w:r>
      <w:r w:rsidR="00B435B5">
        <w:rPr>
          <w:rFonts w:ascii="Times New Roman" w:hAnsi="Times New Roman" w:cs="Times New Roman"/>
          <w:sz w:val="24"/>
          <w:szCs w:val="24"/>
        </w:rPr>
        <w:t xml:space="preserve"> Here, we</w:t>
      </w:r>
      <w:r w:rsidR="00860960">
        <w:rPr>
          <w:rFonts w:ascii="Times New Roman" w:hAnsi="Times New Roman" w:cs="Times New Roman"/>
          <w:sz w:val="24"/>
          <w:szCs w:val="24"/>
        </w:rPr>
        <w:t xml:space="preserve"> </w:t>
      </w:r>
      <w:r w:rsidR="00C91512">
        <w:rPr>
          <w:rFonts w:ascii="Times New Roman" w:hAnsi="Times New Roman" w:cs="Times New Roman"/>
          <w:sz w:val="24"/>
          <w:szCs w:val="24"/>
        </w:rPr>
        <w:t>use field</w:t>
      </w:r>
      <w:r w:rsidR="00860960">
        <w:rPr>
          <w:rFonts w:ascii="Times New Roman" w:hAnsi="Times New Roman" w:cs="Times New Roman"/>
          <w:sz w:val="24"/>
          <w:szCs w:val="24"/>
        </w:rPr>
        <w:t xml:space="preserve"> experiment</w:t>
      </w:r>
      <w:r w:rsidR="00FE1266">
        <w:rPr>
          <w:rFonts w:ascii="Times New Roman" w:hAnsi="Times New Roman" w:cs="Times New Roman"/>
          <w:sz w:val="24"/>
          <w:szCs w:val="24"/>
        </w:rPr>
        <w:t>s</w:t>
      </w:r>
      <w:r w:rsidR="00B435B5">
        <w:rPr>
          <w:rFonts w:ascii="Times New Roman" w:hAnsi="Times New Roman" w:cs="Times New Roman"/>
          <w:sz w:val="24"/>
          <w:szCs w:val="24"/>
        </w:rPr>
        <w:t xml:space="preserve"> </w:t>
      </w:r>
      <w:r w:rsidR="00860960">
        <w:rPr>
          <w:rFonts w:ascii="Times New Roman" w:hAnsi="Times New Roman" w:cs="Times New Roman"/>
          <w:sz w:val="24"/>
          <w:szCs w:val="24"/>
        </w:rPr>
        <w:t xml:space="preserve">to </w:t>
      </w:r>
      <w:r w:rsidR="00CB742C">
        <w:rPr>
          <w:rFonts w:ascii="Times New Roman" w:hAnsi="Times New Roman" w:cs="Times New Roman"/>
          <w:sz w:val="24"/>
          <w:szCs w:val="24"/>
        </w:rPr>
        <w:t xml:space="preserve">investigate </w:t>
      </w:r>
      <w:r w:rsidR="00FE1266">
        <w:rPr>
          <w:rFonts w:ascii="Times New Roman" w:hAnsi="Times New Roman" w:cs="Times New Roman"/>
          <w:sz w:val="24"/>
          <w:szCs w:val="24"/>
        </w:rPr>
        <w:t xml:space="preserve">how climate </w:t>
      </w:r>
      <w:r w:rsidR="006729A6">
        <w:rPr>
          <w:rFonts w:ascii="Times New Roman" w:hAnsi="Times New Roman" w:cs="Times New Roman"/>
          <w:sz w:val="24"/>
          <w:szCs w:val="24"/>
        </w:rPr>
        <w:t>warming</w:t>
      </w:r>
      <w:r w:rsidR="00FE1266">
        <w:rPr>
          <w:rFonts w:ascii="Times New Roman" w:hAnsi="Times New Roman" w:cs="Times New Roman"/>
          <w:sz w:val="24"/>
          <w:szCs w:val="24"/>
        </w:rPr>
        <w:t xml:space="preserve"> affects seed removal</w:t>
      </w:r>
      <w:r w:rsidR="00F7714B">
        <w:rPr>
          <w:rFonts w:ascii="Times New Roman" w:hAnsi="Times New Roman" w:cs="Times New Roman"/>
          <w:sz w:val="24"/>
          <w:szCs w:val="24"/>
        </w:rPr>
        <w:t>;</w:t>
      </w:r>
      <w:r w:rsidR="00C939BE">
        <w:rPr>
          <w:rFonts w:ascii="Times New Roman" w:hAnsi="Times New Roman" w:cs="Times New Roman"/>
          <w:sz w:val="24"/>
          <w:szCs w:val="24"/>
        </w:rPr>
        <w:t xml:space="preserve"> </w:t>
      </w:r>
      <w:r w:rsidR="00CC4AE9">
        <w:rPr>
          <w:rFonts w:ascii="Times New Roman" w:hAnsi="Times New Roman" w:cs="Times New Roman"/>
          <w:sz w:val="24"/>
          <w:szCs w:val="24"/>
        </w:rPr>
        <w:t>th</w:t>
      </w:r>
      <w:r w:rsidR="00F7714B">
        <w:rPr>
          <w:rFonts w:ascii="Times New Roman" w:hAnsi="Times New Roman" w:cs="Times New Roman"/>
          <w:sz w:val="24"/>
          <w:szCs w:val="24"/>
        </w:rPr>
        <w:t>is</w:t>
      </w:r>
      <w:r w:rsidR="00C939BE">
        <w:rPr>
          <w:rFonts w:ascii="Times New Roman" w:hAnsi="Times New Roman" w:cs="Times New Roman"/>
          <w:sz w:val="24"/>
          <w:szCs w:val="24"/>
        </w:rPr>
        <w:t xml:space="preserve"> initiation of movement represent</w:t>
      </w:r>
      <w:r w:rsidR="00F7714B">
        <w:rPr>
          <w:rFonts w:ascii="Times New Roman" w:hAnsi="Times New Roman" w:cs="Times New Roman"/>
          <w:sz w:val="24"/>
          <w:szCs w:val="24"/>
        </w:rPr>
        <w:t>s</w:t>
      </w:r>
      <w:r w:rsidR="006030AB">
        <w:rPr>
          <w:rFonts w:ascii="Times New Roman" w:hAnsi="Times New Roman" w:cs="Times New Roman"/>
          <w:sz w:val="24"/>
          <w:szCs w:val="24"/>
        </w:rPr>
        <w:t xml:space="preserve"> the first step </w:t>
      </w:r>
      <w:r w:rsidR="006729A6">
        <w:rPr>
          <w:rFonts w:ascii="Times New Roman" w:hAnsi="Times New Roman" w:cs="Times New Roman"/>
          <w:sz w:val="24"/>
          <w:szCs w:val="24"/>
        </w:rPr>
        <w:t>in</w:t>
      </w:r>
      <w:r w:rsidR="006030AB">
        <w:rPr>
          <w:rFonts w:ascii="Times New Roman" w:hAnsi="Times New Roman" w:cs="Times New Roman"/>
          <w:sz w:val="24"/>
          <w:szCs w:val="24"/>
        </w:rPr>
        <w:t xml:space="preserve"> insect-driven secondary dispersal</w:t>
      </w:r>
      <w:r w:rsidR="006729A6">
        <w:rPr>
          <w:rFonts w:ascii="Times New Roman" w:hAnsi="Times New Roman" w:cs="Times New Roman"/>
          <w:sz w:val="24"/>
          <w:szCs w:val="24"/>
        </w:rPr>
        <w:t>.</w:t>
      </w:r>
      <w:r w:rsidR="00F7714B">
        <w:rPr>
          <w:rFonts w:ascii="Times New Roman" w:hAnsi="Times New Roman" w:cs="Times New Roman"/>
          <w:sz w:val="24"/>
          <w:szCs w:val="24"/>
        </w:rPr>
        <w:t xml:space="preserve"> We find that </w:t>
      </w:r>
      <w:r w:rsidR="00B435B5">
        <w:rPr>
          <w:rFonts w:ascii="Times New Roman" w:hAnsi="Times New Roman" w:cs="Times New Roman"/>
          <w:sz w:val="24"/>
          <w:szCs w:val="24"/>
        </w:rPr>
        <w:t>increased growing temperature</w:t>
      </w:r>
      <w:r w:rsidR="00CB742C">
        <w:rPr>
          <w:rFonts w:ascii="Times New Roman" w:hAnsi="Times New Roman" w:cs="Times New Roman"/>
          <w:sz w:val="24"/>
          <w:szCs w:val="24"/>
        </w:rPr>
        <w:t xml:space="preserve"> </w:t>
      </w:r>
      <w:r w:rsidR="006030AB">
        <w:rPr>
          <w:rFonts w:ascii="Times New Roman" w:hAnsi="Times New Roman" w:cs="Times New Roman"/>
          <w:sz w:val="24"/>
          <w:szCs w:val="24"/>
        </w:rPr>
        <w:t>influence</w:t>
      </w:r>
      <w:r w:rsidR="000C13FA">
        <w:rPr>
          <w:rFonts w:ascii="Times New Roman" w:hAnsi="Times New Roman" w:cs="Times New Roman"/>
          <w:sz w:val="24"/>
          <w:szCs w:val="24"/>
        </w:rPr>
        <w:t>s</w:t>
      </w:r>
      <w:r w:rsidR="006030AB">
        <w:rPr>
          <w:rFonts w:ascii="Times New Roman" w:hAnsi="Times New Roman" w:cs="Times New Roman"/>
          <w:sz w:val="24"/>
          <w:szCs w:val="24"/>
        </w:rPr>
        <w:t xml:space="preserve"> seed attractiveness to insect dispersers in the invasive thistles </w:t>
      </w:r>
      <w:r w:rsidR="00B435B5">
        <w:rPr>
          <w:rFonts w:ascii="Times New Roman" w:hAnsi="Times New Roman" w:cs="Times New Roman"/>
          <w:i/>
          <w:iCs/>
          <w:sz w:val="24"/>
          <w:szCs w:val="24"/>
        </w:rPr>
        <w:t>Carduus nutans</w:t>
      </w:r>
      <w:r w:rsidR="00B435B5">
        <w:rPr>
          <w:rFonts w:ascii="Times New Roman" w:hAnsi="Times New Roman" w:cs="Times New Roman"/>
          <w:sz w:val="24"/>
          <w:szCs w:val="24"/>
        </w:rPr>
        <w:t xml:space="preserve"> and </w:t>
      </w:r>
      <w:r w:rsidR="00B435B5">
        <w:rPr>
          <w:rFonts w:ascii="Times New Roman" w:hAnsi="Times New Roman" w:cs="Times New Roman"/>
          <w:i/>
          <w:iCs/>
          <w:sz w:val="24"/>
          <w:szCs w:val="24"/>
        </w:rPr>
        <w:t>Carduus acanthoides</w:t>
      </w:r>
      <w:r w:rsidR="00CB742C">
        <w:rPr>
          <w:rFonts w:ascii="Times New Roman" w:hAnsi="Times New Roman" w:cs="Times New Roman"/>
          <w:sz w:val="24"/>
          <w:szCs w:val="24"/>
        </w:rPr>
        <w:t xml:space="preserve">. </w:t>
      </w:r>
      <w:r w:rsidR="00F7714B">
        <w:rPr>
          <w:rFonts w:ascii="Times New Roman" w:hAnsi="Times New Roman" w:cs="Times New Roman"/>
          <w:sz w:val="24"/>
          <w:szCs w:val="24"/>
        </w:rPr>
        <w:t>S</w:t>
      </w:r>
      <w:r w:rsidR="00B435B5">
        <w:rPr>
          <w:rFonts w:ascii="Times New Roman" w:hAnsi="Times New Roman" w:cs="Times New Roman"/>
          <w:sz w:val="24"/>
          <w:szCs w:val="24"/>
        </w:rPr>
        <w:t xml:space="preserve">eeds from maternal plants grown at temperatures 0.6 </w:t>
      </w:r>
      <w:r w:rsidR="00B435B5" w:rsidRPr="00283B6D">
        <w:rPr>
          <w:rFonts w:ascii="Times New Roman" w:hAnsi="Times New Roman" w:cs="Times New Roman"/>
          <w:sz w:val="24"/>
          <w:szCs w:val="24"/>
        </w:rPr>
        <w:t>°C</w:t>
      </w:r>
      <w:r w:rsidR="00151874">
        <w:rPr>
          <w:rFonts w:ascii="Times New Roman" w:hAnsi="Times New Roman" w:cs="Times New Roman"/>
          <w:sz w:val="24"/>
          <w:szCs w:val="24"/>
        </w:rPr>
        <w:t xml:space="preserve"> higher than </w:t>
      </w:r>
      <w:r w:rsidR="003E2536">
        <w:rPr>
          <w:rFonts w:ascii="Times New Roman" w:hAnsi="Times New Roman" w:cs="Times New Roman"/>
          <w:sz w:val="24"/>
          <w:szCs w:val="24"/>
        </w:rPr>
        <w:t xml:space="preserve">ambient </w:t>
      </w:r>
      <w:r w:rsidR="00B435B5">
        <w:rPr>
          <w:rFonts w:ascii="Times New Roman" w:hAnsi="Times New Roman" w:cs="Times New Roman"/>
          <w:sz w:val="24"/>
          <w:szCs w:val="24"/>
        </w:rPr>
        <w:t xml:space="preserve">are </w:t>
      </w:r>
      <w:r w:rsidR="00507E59">
        <w:rPr>
          <w:rFonts w:ascii="Times New Roman" w:hAnsi="Times New Roman" w:cs="Times New Roman"/>
          <w:sz w:val="24"/>
          <w:szCs w:val="24"/>
        </w:rPr>
        <w:t xml:space="preserve">removed at higher rates by </w:t>
      </w:r>
      <w:r w:rsidR="00B435B5">
        <w:rPr>
          <w:rFonts w:ascii="Times New Roman" w:hAnsi="Times New Roman" w:cs="Times New Roman"/>
          <w:sz w:val="24"/>
          <w:szCs w:val="24"/>
        </w:rPr>
        <w:t>insect dispersers than their unwarmed counterparts</w:t>
      </w:r>
      <w:r w:rsidR="00CB742C">
        <w:rPr>
          <w:rFonts w:ascii="Times New Roman" w:hAnsi="Times New Roman" w:cs="Times New Roman"/>
          <w:sz w:val="24"/>
          <w:szCs w:val="24"/>
        </w:rPr>
        <w:t xml:space="preserve">. We also observe that seed elaiosomes in these </w:t>
      </w:r>
      <w:r w:rsidR="00151874">
        <w:rPr>
          <w:rFonts w:ascii="Times New Roman" w:hAnsi="Times New Roman" w:cs="Times New Roman"/>
          <w:sz w:val="24"/>
          <w:szCs w:val="24"/>
        </w:rPr>
        <w:t xml:space="preserve">two </w:t>
      </w:r>
      <w:r w:rsidR="00CB742C">
        <w:rPr>
          <w:rFonts w:ascii="Times New Roman" w:hAnsi="Times New Roman" w:cs="Times New Roman"/>
          <w:sz w:val="24"/>
          <w:szCs w:val="24"/>
        </w:rPr>
        <w:t xml:space="preserve">species play an important role in dispersal, as seeds </w:t>
      </w:r>
      <w:r w:rsidR="00F7714B">
        <w:rPr>
          <w:rFonts w:ascii="Times New Roman" w:hAnsi="Times New Roman" w:cs="Times New Roman"/>
          <w:sz w:val="24"/>
          <w:szCs w:val="24"/>
        </w:rPr>
        <w:t>without</w:t>
      </w:r>
      <w:r w:rsidR="00CB742C">
        <w:rPr>
          <w:rFonts w:ascii="Times New Roman" w:hAnsi="Times New Roman" w:cs="Times New Roman"/>
          <w:sz w:val="24"/>
          <w:szCs w:val="24"/>
        </w:rPr>
        <w:t xml:space="preserve"> elaiosomes were significantly less likely to be </w:t>
      </w:r>
      <w:r w:rsidR="00467F3C">
        <w:rPr>
          <w:rFonts w:ascii="Times New Roman" w:hAnsi="Times New Roman" w:cs="Times New Roman"/>
          <w:sz w:val="24"/>
          <w:szCs w:val="24"/>
        </w:rPr>
        <w:t xml:space="preserve">removed </w:t>
      </w:r>
      <w:r w:rsidR="00CB742C">
        <w:rPr>
          <w:rFonts w:ascii="Times New Roman" w:hAnsi="Times New Roman" w:cs="Times New Roman"/>
          <w:sz w:val="24"/>
          <w:szCs w:val="24"/>
        </w:rPr>
        <w:t>by insects</w:t>
      </w:r>
      <w:r w:rsidR="00507E59">
        <w:rPr>
          <w:rFonts w:ascii="Times New Roman" w:hAnsi="Times New Roman" w:cs="Times New Roman"/>
          <w:sz w:val="24"/>
          <w:szCs w:val="24"/>
        </w:rPr>
        <w:t xml:space="preserve"> over the same time period</w:t>
      </w:r>
      <w:r w:rsidR="00CB742C">
        <w:rPr>
          <w:rFonts w:ascii="Times New Roman" w:hAnsi="Times New Roman" w:cs="Times New Roman"/>
          <w:sz w:val="24"/>
          <w:szCs w:val="24"/>
        </w:rPr>
        <w:t>.</w:t>
      </w:r>
      <w:r w:rsidR="00BF798A">
        <w:rPr>
          <w:rFonts w:ascii="Times New Roman" w:hAnsi="Times New Roman" w:cs="Times New Roman"/>
          <w:sz w:val="24"/>
          <w:szCs w:val="24"/>
        </w:rPr>
        <w:t xml:space="preserve"> Significant interaction effects between elaiosome presence/absence </w:t>
      </w:r>
      <w:r w:rsidR="00C534DF">
        <w:rPr>
          <w:rFonts w:ascii="Times New Roman" w:hAnsi="Times New Roman" w:cs="Times New Roman"/>
          <w:sz w:val="24"/>
          <w:szCs w:val="24"/>
        </w:rPr>
        <w:t xml:space="preserve">and warming treatment </w:t>
      </w:r>
      <w:r w:rsidR="00BF798A">
        <w:rPr>
          <w:rFonts w:ascii="Times New Roman" w:hAnsi="Times New Roman" w:cs="Times New Roman"/>
          <w:sz w:val="24"/>
          <w:szCs w:val="24"/>
        </w:rPr>
        <w:t>were observed as well</w:t>
      </w:r>
      <w:r w:rsidR="00467F3C">
        <w:rPr>
          <w:rFonts w:ascii="Times New Roman" w:hAnsi="Times New Roman" w:cs="Times New Roman"/>
          <w:sz w:val="24"/>
          <w:szCs w:val="24"/>
        </w:rPr>
        <w:t xml:space="preserve">, though only for </w:t>
      </w:r>
      <w:r w:rsidR="00467F3C">
        <w:rPr>
          <w:rFonts w:ascii="Times New Roman" w:hAnsi="Times New Roman" w:cs="Times New Roman"/>
          <w:i/>
          <w:iCs/>
          <w:sz w:val="24"/>
          <w:szCs w:val="24"/>
        </w:rPr>
        <w:t>C. acanthoides</w:t>
      </w:r>
      <w:r w:rsidR="00467F3C">
        <w:rPr>
          <w:rFonts w:ascii="Times New Roman" w:hAnsi="Times New Roman" w:cs="Times New Roman"/>
          <w:sz w:val="24"/>
          <w:szCs w:val="24"/>
        </w:rPr>
        <w:t>, with the boost in seed removal from warming dampened when the elaiosome was present compared to when it was absent</w:t>
      </w:r>
      <w:r w:rsidR="00BF798A">
        <w:rPr>
          <w:rFonts w:ascii="Times New Roman" w:hAnsi="Times New Roman" w:cs="Times New Roman"/>
          <w:sz w:val="24"/>
          <w:szCs w:val="24"/>
        </w:rPr>
        <w:t>.</w:t>
      </w:r>
      <w:r w:rsidR="008C4F57">
        <w:rPr>
          <w:rFonts w:ascii="Times New Roman" w:hAnsi="Times New Roman" w:cs="Times New Roman"/>
          <w:sz w:val="24"/>
          <w:szCs w:val="24"/>
        </w:rPr>
        <w:t xml:space="preserve"> </w:t>
      </w:r>
      <w:r w:rsidR="00D15DF0">
        <w:rPr>
          <w:rFonts w:ascii="Times New Roman" w:hAnsi="Times New Roman" w:cs="Times New Roman"/>
          <w:sz w:val="24"/>
          <w:szCs w:val="24"/>
        </w:rPr>
        <w:t>These</w:t>
      </w:r>
      <w:r w:rsidR="006030AB">
        <w:rPr>
          <w:rFonts w:ascii="Times New Roman" w:hAnsi="Times New Roman" w:cs="Times New Roman"/>
          <w:sz w:val="24"/>
          <w:szCs w:val="24"/>
        </w:rPr>
        <w:t xml:space="preserve"> </w:t>
      </w:r>
      <w:r w:rsidR="00C91512">
        <w:rPr>
          <w:rFonts w:ascii="Times New Roman" w:hAnsi="Times New Roman" w:cs="Times New Roman"/>
          <w:sz w:val="24"/>
          <w:szCs w:val="24"/>
        </w:rPr>
        <w:t xml:space="preserve">findings </w:t>
      </w:r>
      <w:r w:rsidR="008C4F57">
        <w:rPr>
          <w:rFonts w:ascii="Times New Roman" w:hAnsi="Times New Roman" w:cs="Times New Roman"/>
          <w:sz w:val="24"/>
          <w:szCs w:val="24"/>
        </w:rPr>
        <w:t xml:space="preserve">provide evidence that climate </w:t>
      </w:r>
      <w:r w:rsidR="00860960">
        <w:rPr>
          <w:rFonts w:ascii="Times New Roman" w:hAnsi="Times New Roman" w:cs="Times New Roman"/>
          <w:sz w:val="24"/>
          <w:szCs w:val="24"/>
        </w:rPr>
        <w:t xml:space="preserve">warming </w:t>
      </w:r>
      <w:r w:rsidR="008C4F57">
        <w:rPr>
          <w:rFonts w:ascii="Times New Roman" w:hAnsi="Times New Roman" w:cs="Times New Roman"/>
          <w:sz w:val="24"/>
          <w:szCs w:val="24"/>
        </w:rPr>
        <w:t xml:space="preserve">may alter aspects of the dispersal process such as seed removal, which could </w:t>
      </w:r>
      <w:r w:rsidR="00F7714B">
        <w:rPr>
          <w:rFonts w:ascii="Times New Roman" w:hAnsi="Times New Roman" w:cs="Times New Roman"/>
          <w:sz w:val="24"/>
          <w:szCs w:val="24"/>
        </w:rPr>
        <w:t xml:space="preserve">subsequently </w:t>
      </w:r>
      <w:r w:rsidR="008C4F57">
        <w:rPr>
          <w:rFonts w:ascii="Times New Roman" w:hAnsi="Times New Roman" w:cs="Times New Roman"/>
          <w:sz w:val="24"/>
          <w:szCs w:val="24"/>
        </w:rPr>
        <w:t>affect how plants disperse their seeds in a changing world.</w:t>
      </w:r>
    </w:p>
    <w:p w14:paraId="6E6C5CD0" w14:textId="77777777" w:rsidR="00A50152" w:rsidRDefault="00A50152" w:rsidP="00A50152">
      <w:pPr>
        <w:spacing w:line="240" w:lineRule="auto"/>
        <w:jc w:val="both"/>
        <w:rPr>
          <w:rFonts w:ascii="Times New Roman" w:hAnsi="Times New Roman" w:cs="Times New Roman"/>
          <w:b/>
          <w:bCs/>
          <w:sz w:val="24"/>
          <w:szCs w:val="24"/>
        </w:rPr>
      </w:pPr>
    </w:p>
    <w:p w14:paraId="3DF6D492" w14:textId="32B79947" w:rsidR="00A50152" w:rsidRPr="00A50152" w:rsidRDefault="00A50152" w:rsidP="00A5015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1090A04" w14:textId="74FF159C" w:rsidR="00C04157" w:rsidRDefault="00B705D6" w:rsidP="00C550AA">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is the only stage in the life cycle during which movement occurs</w:t>
      </w:r>
      <w:r w:rsidR="00663B48">
        <w:rPr>
          <w:rFonts w:ascii="Times New Roman" w:hAnsi="Times New Roman" w:cs="Times New Roman"/>
          <w:sz w:val="24"/>
          <w:szCs w:val="24"/>
        </w:rPr>
        <w:t>, and</w:t>
      </w:r>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w:t>
      </w:r>
      <w:r w:rsidR="00AD5A9B">
        <w:rPr>
          <w:rFonts w:ascii="Times New Roman" w:hAnsi="Times New Roman" w:cs="Times New Roman"/>
          <w:sz w:val="24"/>
          <w:szCs w:val="24"/>
        </w:rPr>
        <w:lastRenderedPageBreak/>
        <w:t>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4C46EAB" w:rsidR="00356DD3" w:rsidRDefault="00C04157"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Longland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r w:rsidR="00FA69A0">
        <w:rPr>
          <w:rFonts w:ascii="Times New Roman" w:hAnsi="Times New Roman" w:cs="Times New Roman"/>
          <w:sz w:val="24"/>
          <w:szCs w:val="24"/>
        </w:rPr>
        <w:t xml:space="preserve">elaiosome,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elaiosome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elaiosome,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(Jongejans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Hedhly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Caignard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r w:rsidR="00B8707D" w:rsidRPr="00B8707D">
        <w:rPr>
          <w:rFonts w:ascii="Times New Roman" w:hAnsi="Times New Roman" w:cs="Times New Roman"/>
          <w:sz w:val="24"/>
          <w:szCs w:val="24"/>
        </w:rPr>
        <w:t>Thürig</w:t>
      </w:r>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r w:rsidR="00E57B27">
        <w:rPr>
          <w:rFonts w:ascii="Times New Roman" w:hAnsi="Times New Roman" w:cs="Times New Roman"/>
          <w:sz w:val="24"/>
          <w:szCs w:val="24"/>
        </w:rPr>
        <w:t xml:space="preserve">Mokany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24C1D09E" w:rsidR="000B0D23" w:rsidRPr="000B63BA" w:rsidRDefault="000B0D23" w:rsidP="000B0D23">
      <w:pPr>
        <w:spacing w:line="24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lastRenderedPageBreak/>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(Jongejans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r w:rsidR="005545D4" w:rsidRPr="00663B48">
        <w:rPr>
          <w:rFonts w:ascii="Times New Roman" w:hAnsi="Times New Roman" w:cs="Times New Roman"/>
          <w:sz w:val="24"/>
          <w:szCs w:val="24"/>
        </w:rPr>
        <w:t xml:space="preserve">e.g.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Türke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Linabury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commentRangeStart w:id="0"/>
      <w:r w:rsidR="00663B48" w:rsidRPr="00663B48">
        <w:rPr>
          <w:rFonts w:ascii="Times New Roman" w:hAnsi="Times New Roman" w:cs="Times New Roman"/>
          <w:sz w:val="24"/>
          <w:szCs w:val="24"/>
        </w:rPr>
        <w:t xml:space="preserve">LoPresti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commentRangeEnd w:id="0"/>
      <w:r w:rsidR="00663B48">
        <w:rPr>
          <w:rStyle w:val="CommentReference"/>
        </w:rPr>
        <w:commentReference w:id="0"/>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r w:rsidR="00216120" w:rsidRPr="007C1F05">
        <w:rPr>
          <w:rFonts w:ascii="Times New Roman" w:hAnsi="Times New Roman" w:cs="Times New Roman"/>
          <w:sz w:val="24"/>
          <w:szCs w:val="24"/>
        </w:rPr>
        <w:t xml:space="preserve">Jongejans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7496C33A" w14:textId="4C103FED" w:rsidR="00204FAB" w:rsidRPr="00204FAB" w:rsidRDefault="00951781" w:rsidP="000B0D23">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elaiosome</w:t>
      </w:r>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elaiosome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are seeds from maternal plants that experienced increased growing temperatures any more or less likely to be removed by insects than their unwarmed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does the effect of the seed elaiosome on removal rates change based on whether the maternal plant is warmed or unwarmed?</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3080E0FC" w14:textId="77777777" w:rsidR="00904F00" w:rsidRDefault="00904F00" w:rsidP="00831A17">
      <w:pPr>
        <w:jc w:val="both"/>
      </w:pPr>
    </w:p>
    <w:p w14:paraId="158D42B8" w14:textId="77777777" w:rsidR="00904F00" w:rsidRPr="007C1F05" w:rsidRDefault="00AC3BA0" w:rsidP="007C1F05">
      <w:pPr>
        <w:spacing w:line="240" w:lineRule="auto"/>
        <w:jc w:val="both"/>
        <w:rPr>
          <w:rFonts w:ascii="Times New Roman" w:hAnsi="Times New Roman" w:cs="Times New Roman"/>
          <w:b/>
          <w:bCs/>
          <w:sz w:val="32"/>
          <w:szCs w:val="32"/>
        </w:rPr>
      </w:pPr>
      <w:r w:rsidRPr="007C1F05">
        <w:rPr>
          <w:rFonts w:ascii="Times New Roman" w:hAnsi="Times New Roman" w:cs="Times New Roman"/>
          <w:b/>
          <w:bCs/>
          <w:sz w:val="32"/>
          <w:szCs w:val="32"/>
        </w:rPr>
        <w:t>Materials and Methods</w:t>
      </w:r>
    </w:p>
    <w:p w14:paraId="4F8BF12B" w14:textId="461A1037" w:rsidR="00904F00" w:rsidRPr="007C1F05" w:rsidRDefault="00904F00" w:rsidP="007C1F05">
      <w:pPr>
        <w:spacing w:line="240" w:lineRule="auto"/>
        <w:jc w:val="both"/>
        <w:rPr>
          <w:rFonts w:ascii="Times New Roman" w:hAnsi="Times New Roman" w:cs="Times New Roman"/>
          <w:b/>
          <w:bCs/>
          <w:i/>
          <w:iCs/>
          <w:sz w:val="24"/>
          <w:szCs w:val="24"/>
        </w:rPr>
      </w:pPr>
      <w:r w:rsidRPr="007C1F05">
        <w:rPr>
          <w:rFonts w:ascii="Times New Roman" w:hAnsi="Times New Roman" w:cs="Times New Roman"/>
          <w:b/>
          <w:bCs/>
          <w:i/>
          <w:iCs/>
          <w:sz w:val="24"/>
          <w:szCs w:val="24"/>
        </w:rPr>
        <w:t>Study Species</w:t>
      </w:r>
    </w:p>
    <w:p w14:paraId="48CB84F3" w14:textId="32B5428B" w:rsidR="00904F00" w:rsidRPr="00334F10" w:rsidRDefault="00F70A4D" w:rsidP="00C5567B">
      <w:pPr>
        <w:spacing w:after="120" w:line="24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Carduus acanthoides</w:t>
      </w:r>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(Trumble and Kok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C. acanthoides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r w:rsidR="00D40D3C">
        <w:rPr>
          <w:rFonts w:ascii="Times New Roman" w:hAnsi="Times New Roman" w:cs="Times New Roman"/>
          <w:sz w:val="24"/>
          <w:szCs w:val="24"/>
        </w:rPr>
        <w:t>annual</w:t>
      </w:r>
      <w:r w:rsidR="00B20BA4">
        <w:rPr>
          <w:rFonts w:ascii="Times New Roman" w:hAnsi="Times New Roman" w:cs="Times New Roman"/>
          <w:sz w:val="24"/>
          <w:szCs w:val="24"/>
        </w:rPr>
        <w:t>ism</w:t>
      </w:r>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elaiosomes</w:t>
      </w:r>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 xml:space="preserve">(Jongejans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6CCF3B" w14:textId="77777777" w:rsidR="00663B48" w:rsidRDefault="00663B48" w:rsidP="007C1F05">
      <w:pPr>
        <w:spacing w:line="240" w:lineRule="auto"/>
        <w:jc w:val="both"/>
        <w:rPr>
          <w:rFonts w:ascii="Times New Roman" w:hAnsi="Times New Roman" w:cs="Times New Roman"/>
          <w:b/>
          <w:bCs/>
          <w:i/>
          <w:iCs/>
          <w:sz w:val="24"/>
          <w:szCs w:val="24"/>
        </w:rPr>
      </w:pPr>
    </w:p>
    <w:p w14:paraId="643A948D" w14:textId="3ED66851" w:rsidR="00F30DC8" w:rsidRPr="00F30DC8" w:rsidRDefault="00F30DC8"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Seed </w:t>
      </w:r>
      <w:r w:rsidR="00E75447">
        <w:rPr>
          <w:rFonts w:ascii="Times New Roman" w:hAnsi="Times New Roman" w:cs="Times New Roman"/>
          <w:b/>
          <w:bCs/>
          <w:i/>
          <w:iCs/>
          <w:sz w:val="24"/>
          <w:szCs w:val="24"/>
        </w:rPr>
        <w:t xml:space="preserve">Collection </w:t>
      </w:r>
      <w:r>
        <w:rPr>
          <w:rFonts w:ascii="Times New Roman" w:hAnsi="Times New Roman" w:cs="Times New Roman"/>
          <w:b/>
          <w:bCs/>
          <w:i/>
          <w:iCs/>
          <w:sz w:val="24"/>
          <w:szCs w:val="24"/>
        </w:rPr>
        <w:t xml:space="preserve">and </w:t>
      </w:r>
      <w:r w:rsidR="00E75447">
        <w:rPr>
          <w:rFonts w:ascii="Times New Roman" w:hAnsi="Times New Roman" w:cs="Times New Roman"/>
          <w:b/>
          <w:bCs/>
          <w:i/>
          <w:iCs/>
          <w:sz w:val="24"/>
          <w:szCs w:val="24"/>
        </w:rPr>
        <w:t>Preparation</w:t>
      </w:r>
    </w:p>
    <w:p w14:paraId="4D46AB4F" w14:textId="30AA34C6" w:rsidR="0035456F" w:rsidRDefault="00BA27E1" w:rsidP="007C1F05">
      <w:pPr>
        <w:spacing w:line="24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acanthoides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(Molau and Mølgaard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A527CB">
      <w:pPr>
        <w:spacing w:line="24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C. acanthoides</w:t>
      </w:r>
      <w:r>
        <w:rPr>
          <w:rFonts w:ascii="Times New Roman" w:hAnsi="Times New Roman" w:cs="Times New Roman"/>
          <w:sz w:val="24"/>
          <w:szCs w:val="24"/>
        </w:rPr>
        <w:t xml:space="preserve"> were irradiated using a 1000 KR dosage of gamma radiation; this dosage was demonstrated by </w:t>
      </w:r>
      <w:r w:rsidRPr="00D34C40">
        <w:rPr>
          <w:rFonts w:ascii="Times New Roman" w:hAnsi="Times New Roman" w:cs="Times New Roman"/>
          <w:sz w:val="24"/>
          <w:szCs w:val="24"/>
        </w:rPr>
        <w:t xml:space="preserve">Jongejans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r w:rsidR="004659BE">
        <w:rPr>
          <w:rFonts w:ascii="Times New Roman" w:hAnsi="Times New Roman" w:cs="Times New Roman"/>
          <w:sz w:val="24"/>
          <w:szCs w:val="24"/>
        </w:rPr>
        <w:t>elaoisome removal treatment.</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Elaiosomes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using a teasing needle to press the elaiosome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In instances where the elaiosome did not cleanly separate, the teasing needle was used to gently dig out the remainder of the elaiosome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Seeds not receiving the elaiosome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elaiosomes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elaiosomes removed and the control seeds were handled appropriately, seeds were again placed in airtight containers based on treatment type.</w:t>
      </w:r>
    </w:p>
    <w:p w14:paraId="4DB5137E" w14:textId="30E244A5" w:rsidR="00E75447" w:rsidRDefault="0055327E"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r w:rsidR="00DC6A1F" w:rsidRPr="0055327E">
        <w:rPr>
          <w:rFonts w:ascii="Times New Roman" w:hAnsi="Times New Roman" w:cs="Times New Roman"/>
          <w:sz w:val="24"/>
          <w:szCs w:val="24"/>
        </w:rPr>
        <w:t xml:space="preserve">Jongejans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t>
      </w:r>
      <w:r w:rsidR="00A90D75">
        <w:rPr>
          <w:rFonts w:ascii="Times New Roman" w:hAnsi="Times New Roman" w:cs="Times New Roman"/>
          <w:sz w:val="24"/>
          <w:szCs w:val="24"/>
        </w:rPr>
        <w:lastRenderedPageBreak/>
        <w:t xml:space="preserve">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58B2E26A" w14:textId="77930BC1" w:rsidR="00813613" w:rsidRPr="00E75447" w:rsidRDefault="00E75447" w:rsidP="006F335E">
      <w:pPr>
        <w:spacing w:line="240" w:lineRule="auto"/>
        <w:ind w:firstLine="360"/>
        <w:jc w:val="both"/>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or not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All of these seeds had their elaiosomes intact.</w:t>
      </w:r>
    </w:p>
    <w:p w14:paraId="697F3F13" w14:textId="77777777" w:rsidR="00C534DF" w:rsidRDefault="00C534DF" w:rsidP="007C1F05">
      <w:pPr>
        <w:spacing w:line="240" w:lineRule="auto"/>
        <w:jc w:val="both"/>
        <w:rPr>
          <w:rFonts w:ascii="Times New Roman" w:hAnsi="Times New Roman" w:cs="Times New Roman"/>
          <w:b/>
          <w:bCs/>
          <w:i/>
          <w:iCs/>
          <w:sz w:val="24"/>
          <w:szCs w:val="24"/>
        </w:rPr>
      </w:pPr>
    </w:p>
    <w:p w14:paraId="04E0579C" w14:textId="6A3763A4" w:rsidR="00A90D75" w:rsidRPr="00F30DC8" w:rsidRDefault="00A90D75" w:rsidP="007C1F05">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Experimental </w:t>
      </w:r>
      <w:r w:rsidR="00E75447">
        <w:rPr>
          <w:rFonts w:ascii="Times New Roman" w:hAnsi="Times New Roman" w:cs="Times New Roman"/>
          <w:b/>
          <w:bCs/>
          <w:i/>
          <w:iCs/>
          <w:sz w:val="24"/>
          <w:szCs w:val="24"/>
        </w:rPr>
        <w:t>Setup</w:t>
      </w:r>
    </w:p>
    <w:p w14:paraId="294BEC1F" w14:textId="3267CA21" w:rsidR="00B74FB8" w:rsidRDefault="004802DF" w:rsidP="007C1F0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C. acanthoides</w:t>
      </w:r>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(warmed vs unwarmed</w:t>
      </w:r>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and elaiosome</w:t>
      </w:r>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F95BD7">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DC7AB8">
      <w:pPr>
        <w:spacing w:line="240" w:lineRule="auto"/>
        <w:jc w:val="both"/>
        <w:rPr>
          <w:b/>
          <w:bCs/>
        </w:rPr>
      </w:pPr>
    </w:p>
    <w:p w14:paraId="445973CE" w14:textId="52C2340C" w:rsidR="008644D3"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Image </w:t>
      </w:r>
      <w:r w:rsidR="00E75447">
        <w:rPr>
          <w:rFonts w:ascii="Times New Roman" w:hAnsi="Times New Roman" w:cs="Times New Roman"/>
          <w:b/>
          <w:bCs/>
          <w:i/>
          <w:iCs/>
          <w:sz w:val="24"/>
          <w:szCs w:val="24"/>
        </w:rPr>
        <w:t>Processing</w:t>
      </w:r>
    </w:p>
    <w:p w14:paraId="7ADC4619" w14:textId="05208DBE" w:rsidR="008644D3" w:rsidRPr="008644D3" w:rsidRDefault="008644D3" w:rsidP="00C5567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4B6AE11B" w14:textId="2E985AFF" w:rsidR="008644D3" w:rsidRPr="00F30DC8" w:rsidRDefault="008644D3" w:rsidP="008644D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Statistical Analyses</w:t>
      </w:r>
    </w:p>
    <w:p w14:paraId="15666D34" w14:textId="32CF3D7A" w:rsidR="001B58CB" w:rsidRDefault="006F3305"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w:t>
      </w:r>
      <w:r w:rsidR="00D77BEA">
        <w:rPr>
          <w:rFonts w:ascii="Times New Roman" w:hAnsi="Times New Roman" w:cs="Times New Roman"/>
          <w:sz w:val="24"/>
          <w:szCs w:val="24"/>
        </w:rPr>
        <w:t>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warming and elaiosome removal treatments</w:t>
      </w:r>
      <w:r>
        <w:rPr>
          <w:rFonts w:ascii="Times New Roman" w:hAnsi="Times New Roman" w:cs="Times New Roman"/>
          <w:sz w:val="24"/>
          <w:szCs w:val="24"/>
        </w:rPr>
        <w:t xml:space="preserve">, we used the </w:t>
      </w:r>
      <w:r w:rsidRPr="00B31113">
        <w:rPr>
          <w:rFonts w:ascii="Consolas" w:hAnsi="Consolas" w:cs="Times New Roman"/>
          <w:b/>
          <w:bCs/>
          <w:sz w:val="23"/>
          <w:szCs w:val="23"/>
        </w:rPr>
        <w:t>glmer</w:t>
      </w:r>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w:t>
      </w:r>
      <w:r w:rsidR="007B1F15">
        <w:rPr>
          <w:rFonts w:ascii="Times New Roman" w:hAnsi="Times New Roman" w:cs="Times New Roman"/>
          <w:sz w:val="24"/>
          <w:szCs w:val="24"/>
        </w:rPr>
        <w:t>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r w:rsidR="00C534DF">
        <w:rPr>
          <w:rFonts w:ascii="Times New Roman" w:hAnsi="Times New Roman" w:cs="Times New Roman"/>
          <w:sz w:val="24"/>
          <w:szCs w:val="24"/>
        </w:rPr>
        <w:t>elaiosome</w:t>
      </w:r>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Jongejans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similar to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1A7562">
      <w:pPr>
        <w:spacing w:line="240" w:lineRule="auto"/>
        <w:ind w:firstLine="284"/>
        <w:jc w:val="both"/>
      </w:pPr>
    </w:p>
    <w:p w14:paraId="547819DF" w14:textId="1D58E682" w:rsidR="00F018BE" w:rsidRPr="007C1F05" w:rsidRDefault="00F018BE" w:rsidP="00F018BE">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Results</w:t>
      </w:r>
    </w:p>
    <w:p w14:paraId="36ADE07F" w14:textId="24A1CD7D" w:rsidR="002F73EA" w:rsidRDefault="0029647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Crickets were also observed on 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3DDCB423" w:rsidR="00646635" w:rsidRPr="002F73EA" w:rsidRDefault="00DC5051"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elaiosomes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acanthoides</w:t>
      </w:r>
      <w:r w:rsidR="00282DEE">
        <w:rPr>
          <w:rFonts w:ascii="Times New Roman" w:hAnsi="Times New Roman" w:cs="Times New Roman"/>
          <w:sz w:val="24"/>
          <w:szCs w:val="24"/>
        </w:rPr>
        <w:t xml:space="preserve">, removal of seeds with </w:t>
      </w:r>
      <w:r w:rsidR="00282DEE">
        <w:rPr>
          <w:rFonts w:ascii="Times New Roman" w:hAnsi="Times New Roman" w:cs="Times New Roman"/>
          <w:sz w:val="24"/>
          <w:szCs w:val="24"/>
        </w:rPr>
        <w:lastRenderedPageBreak/>
        <w:t>no warming treatment and no elaiosomes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C. acanthoides</w:t>
      </w:r>
      <w:r w:rsidR="00194B26">
        <w:rPr>
          <w:rFonts w:ascii="Times New Roman" w:hAnsi="Times New Roman" w:cs="Times New Roman"/>
          <w:sz w:val="24"/>
          <w:szCs w:val="24"/>
        </w:rPr>
        <w:t>.</w:t>
      </w:r>
    </w:p>
    <w:p w14:paraId="4C0334E9" w14:textId="0B93FEF5" w:rsidR="00071C42" w:rsidRDefault="00282DEE"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elaiosome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r w:rsidR="00DC5051">
        <w:rPr>
          <w:rFonts w:ascii="Times New Roman" w:hAnsi="Times New Roman" w:cs="Times New Roman"/>
          <w:sz w:val="24"/>
          <w:szCs w:val="24"/>
        </w:rPr>
        <w:t>un</w:t>
      </w:r>
      <w:r w:rsidR="004A475B">
        <w:rPr>
          <w:rFonts w:ascii="Times New Roman" w:hAnsi="Times New Roman" w:cs="Times New Roman"/>
          <w:sz w:val="24"/>
          <w:szCs w:val="24"/>
        </w:rPr>
        <w:t>warmed maternal plants, and seeds with their elaiosomes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elaiosomes</w:t>
      </w:r>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elaiosomes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elaiosomes for all combinations of warming and species, except for warmed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unwarmed maternal plants for all combinations of elaiosome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65A3F">
        <w:rPr>
          <w:rFonts w:ascii="Times New Roman" w:hAnsi="Times New Roman" w:cs="Times New Roman"/>
          <w:sz w:val="24"/>
          <w:szCs w:val="24"/>
        </w:rPr>
        <w:t xml:space="preserve"> </w:t>
      </w:r>
      <w:r w:rsidR="00FD2CD6">
        <w:rPr>
          <w:rFonts w:ascii="Times New Roman" w:hAnsi="Times New Roman" w:cs="Times New Roman"/>
          <w:sz w:val="24"/>
          <w:szCs w:val="24"/>
        </w:rPr>
        <w:t>with intact elaiosomes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warming/elaiosome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or not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2FEB74CF" w:rsidR="00170229" w:rsidRDefault="00071C42" w:rsidP="00A527CB">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r w:rsidR="00BD06A9">
        <w:rPr>
          <w:rFonts w:ascii="Times New Roman" w:hAnsi="Times New Roman" w:cs="Times New Roman"/>
          <w:sz w:val="24"/>
          <w:szCs w:val="24"/>
        </w:rPr>
        <w:t>elaiosome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C. acanthoides</w:t>
      </w:r>
      <w:r w:rsidR="00377387">
        <w:rPr>
          <w:rFonts w:ascii="Times New Roman" w:hAnsi="Times New Roman" w:cs="Times New Roman"/>
          <w:sz w:val="24"/>
          <w:szCs w:val="24"/>
        </w:rPr>
        <w:t>, significant negative interactions at all three time points suggest that presence of the elaiosome dampens the increase in seed removal facilitated by warming – that is, seeds with elaiosomes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elaiosome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S</w:t>
      </w:r>
      <w:r w:rsidR="00E11392">
        <w:rPr>
          <w:rFonts w:ascii="Times New Roman" w:hAnsi="Times New Roman" w:cs="Times New Roman"/>
          <w:sz w:val="24"/>
          <w:szCs w:val="24"/>
        </w:rPr>
        <w:t>5</w:t>
      </w:r>
      <w:r w:rsidR="00E11392">
        <w:rPr>
          <w:rFonts w:ascii="Times New Roman" w:hAnsi="Times New Roman" w:cs="Times New Roman"/>
          <w:sz w:val="24"/>
          <w:szCs w:val="24"/>
        </w:rPr>
        <w:t xml:space="preserve">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unwarmed </w:t>
      </w:r>
      <w:r w:rsidR="00CE606C">
        <w:rPr>
          <w:rFonts w:ascii="Times New Roman" w:hAnsi="Times New Roman" w:cs="Times New Roman"/>
          <w:i/>
          <w:iCs/>
          <w:sz w:val="24"/>
          <w:szCs w:val="24"/>
        </w:rPr>
        <w:t>C. acanthoides</w:t>
      </w:r>
      <w:r w:rsidR="00CE606C">
        <w:rPr>
          <w:rFonts w:ascii="Times New Roman" w:hAnsi="Times New Roman" w:cs="Times New Roman"/>
          <w:sz w:val="24"/>
          <w:szCs w:val="24"/>
        </w:rPr>
        <w:t xml:space="preserve"> when the </w:t>
      </w:r>
      <w:r w:rsidR="00716975">
        <w:rPr>
          <w:rFonts w:ascii="Times New Roman" w:hAnsi="Times New Roman" w:cs="Times New Roman"/>
          <w:sz w:val="24"/>
          <w:szCs w:val="24"/>
        </w:rPr>
        <w:t>elaiosome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elaiosome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0A5684">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each species, there were significant differences in seed mass between the warmed and unwarmed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unwarmed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r w:rsidR="006E0D8D">
        <w:rPr>
          <w:rFonts w:ascii="Times New Roman" w:hAnsi="Times New Roman" w:cs="Times New Roman"/>
          <w:sz w:val="24"/>
          <w:szCs w:val="24"/>
        </w:rPr>
        <w:t>unwarmed seeds, representing an approximately 4.5% increase in mass.</w:t>
      </w:r>
    </w:p>
    <w:p w14:paraId="3BE787DC" w14:textId="77777777" w:rsidR="00170229" w:rsidRDefault="00170229" w:rsidP="00170229">
      <w:pPr>
        <w:jc w:val="both"/>
      </w:pPr>
    </w:p>
    <w:p w14:paraId="3C53E0CF" w14:textId="13DF9178" w:rsidR="00170229" w:rsidRPr="007C1F05" w:rsidRDefault="00170229" w:rsidP="00170229">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Discussion</w:t>
      </w:r>
    </w:p>
    <w:p w14:paraId="3092371F" w14:textId="56FC33E0" w:rsidR="00860960" w:rsidRDefault="00696987" w:rsidP="001A7562">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Jordano 1981; </w:t>
      </w:r>
      <w:r w:rsidR="00860960" w:rsidRPr="00C05AC4">
        <w:rPr>
          <w:rFonts w:ascii="Times New Roman" w:hAnsi="Times New Roman" w:cs="Times New Roman"/>
          <w:color w:val="222222"/>
          <w:sz w:val="24"/>
          <w:szCs w:val="24"/>
          <w:shd w:val="clear" w:color="auto" w:fill="FFFFFF"/>
        </w:rPr>
        <w:lastRenderedPageBreak/>
        <w:t>Guitián</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Jordano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r w:rsidR="00860960" w:rsidRPr="00E57B27">
        <w:rPr>
          <w:rFonts w:ascii="Times New Roman" w:hAnsi="Times New Roman" w:cs="Times New Roman"/>
          <w:sz w:val="24"/>
          <w:szCs w:val="24"/>
        </w:rPr>
        <w:t>Hämäläinen</w:t>
      </w:r>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Ansong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2013) or on the vehicles themselves (Veldman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as a contaminant of horticultural stock (Hodkinson and Thompson 1997), and as impurities in agricultural produce such as grains (Shimono and Konuma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Here, we provide evidence of ant-mediated seed removal and dispersal, or myrmecochory, and demonstrate the importance of the elaiosome in these processes.</w:t>
      </w:r>
    </w:p>
    <w:p w14:paraId="1BEB7AF2" w14:textId="291254DF" w:rsidR="003A1447" w:rsidRDefault="005C7EE5" w:rsidP="00A02EDA">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in a similar study by </w:t>
      </w:r>
      <w:r w:rsidR="003A1447">
        <w:rPr>
          <w:rFonts w:ascii="Times New Roman" w:hAnsi="Times New Roman" w:cs="Times New Roman"/>
          <w:sz w:val="24"/>
          <w:szCs w:val="24"/>
        </w:rPr>
        <w:t xml:space="preserve">Jongejans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r w:rsidR="008E279E">
        <w:rPr>
          <w:rFonts w:ascii="Times New Roman" w:hAnsi="Times New Roman" w:cs="Times New Roman"/>
          <w:sz w:val="24"/>
          <w:szCs w:val="24"/>
        </w:rPr>
        <w:t xml:space="preserve">Jongejans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F65A3F">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also demonstrate that the elaiosome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as seeds of both species had significantly higher rates of removal when the elaiosome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elaiosomes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C. acanthoides</w:t>
      </w:r>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the differences in seed removal rates between elaiosome-present and elaiosome-absent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elaiosome significantly impacting seed removal rates, we find that exposing the maternal plant to increased growing temperatures also increases the rate at which its seeds are removed by insect dispersers, with seeds from warmed plants experiencing 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elaiosome.</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C. acanthoides</w:t>
      </w:r>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Pausas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C. acanthoides</w:t>
      </w:r>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C. acanthoides</w:t>
      </w:r>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(Jongejans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196CC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Penn and Crist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Hulme and Kollmann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C. acanthoides</w:t>
      </w:r>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w:t>
      </w:r>
      <w:r w:rsidR="00D92BE8">
        <w:rPr>
          <w:rFonts w:ascii="Times New Roman" w:hAnsi="Times New Roman" w:cs="Times New Roman"/>
          <w:sz w:val="24"/>
          <w:szCs w:val="24"/>
        </w:rPr>
        <w:lastRenderedPageBreak/>
        <w:t xml:space="preserve">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DC45D5">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Skarpaas and Shea 2007, Jongejans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152286">
      <w:pPr>
        <w:spacing w:line="240" w:lineRule="auto"/>
        <w:jc w:val="both"/>
        <w:rPr>
          <w:rFonts w:ascii="Times New Roman" w:hAnsi="Times New Roman" w:cs="Times New Roman"/>
          <w:sz w:val="24"/>
          <w:szCs w:val="24"/>
        </w:rPr>
      </w:pPr>
    </w:p>
    <w:p w14:paraId="1DA7EFF7" w14:textId="0CD86030" w:rsidR="003E2536" w:rsidRDefault="003E2536"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Acknowledgments</w:t>
      </w:r>
    </w:p>
    <w:p w14:paraId="63EEB986" w14:textId="1FFFD5F9" w:rsidR="003E2536" w:rsidRDefault="00AE26CE" w:rsidP="00204FAB">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Nordal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C. acanthoides</w:t>
      </w:r>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Penn State Breazeale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204FAB">
      <w:pPr>
        <w:spacing w:line="240" w:lineRule="auto"/>
        <w:jc w:val="both"/>
        <w:rPr>
          <w:rFonts w:ascii="Times New Roman" w:hAnsi="Times New Roman" w:cs="Times New Roman"/>
          <w:sz w:val="24"/>
          <w:szCs w:val="24"/>
        </w:rPr>
      </w:pPr>
    </w:p>
    <w:p w14:paraId="0DC1C271" w14:textId="5B4919E9"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5D4D33AE" w14:textId="020DBD35" w:rsidR="00AB39EF" w:rsidRDefault="00AB39EF" w:rsidP="00AB39EF">
      <w:pPr>
        <w:spacing w:line="24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204FAB">
      <w:pPr>
        <w:spacing w:line="240" w:lineRule="auto"/>
        <w:jc w:val="both"/>
        <w:rPr>
          <w:rFonts w:ascii="Times New Roman" w:hAnsi="Times New Roman" w:cs="Times New Roman"/>
          <w:b/>
          <w:bCs/>
          <w:sz w:val="24"/>
          <w:szCs w:val="24"/>
        </w:rPr>
      </w:pPr>
    </w:p>
    <w:p w14:paraId="6CEFBBE7"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Conflicts of Interest</w:t>
      </w:r>
    </w:p>
    <w:p w14:paraId="44088DCB" w14:textId="77777777"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204FAB">
      <w:pPr>
        <w:spacing w:line="240" w:lineRule="auto"/>
        <w:jc w:val="both"/>
        <w:rPr>
          <w:rFonts w:ascii="Times New Roman" w:hAnsi="Times New Roman" w:cs="Times New Roman"/>
          <w:b/>
          <w:bCs/>
          <w:sz w:val="24"/>
          <w:szCs w:val="24"/>
        </w:rPr>
      </w:pPr>
    </w:p>
    <w:p w14:paraId="150AC412" w14:textId="5556C182" w:rsidR="00AB39EF" w:rsidRDefault="00AB39EF" w:rsidP="00AB39EF">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Data Availability</w:t>
      </w:r>
    </w:p>
    <w:p w14:paraId="021C63DC" w14:textId="09A6E7DD" w:rsidR="00AB39EF" w:rsidRDefault="00AB39EF" w:rsidP="00204FAB">
      <w:pPr>
        <w:spacing w:line="24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204FAB">
      <w:pPr>
        <w:spacing w:line="240" w:lineRule="auto"/>
        <w:jc w:val="both"/>
        <w:rPr>
          <w:rFonts w:ascii="Times New Roman" w:hAnsi="Times New Roman" w:cs="Times New Roman"/>
          <w:b/>
          <w:bCs/>
          <w:sz w:val="24"/>
          <w:szCs w:val="24"/>
        </w:rPr>
      </w:pPr>
    </w:p>
    <w:p w14:paraId="6BAACA7C" w14:textId="3BD44B78" w:rsidR="00204FAB" w:rsidRPr="00204FAB" w:rsidRDefault="00204FAB" w:rsidP="00204FAB">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579AAB1A" w14:textId="278E8185" w:rsidR="00B705D6" w:rsidRDefault="00A02EDA">
      <w:pPr>
        <w:spacing w:after="120" w:line="24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arvense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705D6">
      <w:pPr>
        <w:spacing w:after="120" w:line="240" w:lineRule="auto"/>
        <w:ind w:left="284" w:hanging="284"/>
        <w:jc w:val="both"/>
        <w:rPr>
          <w:rFonts w:ascii="Times New Roman" w:hAnsi="Times New Roman" w:cs="Times New Roman"/>
          <w:sz w:val="24"/>
          <w:szCs w:val="24"/>
        </w:rPr>
      </w:pPr>
      <w:r w:rsidRPr="00BE38E8">
        <w:rPr>
          <w:rFonts w:ascii="Times New Roman" w:hAnsi="Times New Roman" w:cs="Times New Roman"/>
          <w:sz w:val="24"/>
          <w:szCs w:val="24"/>
        </w:rPr>
        <w:t>Ansong,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705D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Bates, D., Maechler, M., Bolker,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705D6">
      <w:pPr>
        <w:spacing w:after="120" w:line="24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Myrmecochorous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705D6">
      <w:pPr>
        <w:spacing w:after="120" w:line="24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elaiosomes. </w:t>
      </w:r>
      <w:r w:rsidRPr="00BE38E8">
        <w:rPr>
          <w:rFonts w:ascii="Times New Roman" w:hAnsi="Times New Roman" w:cs="Times New Roman"/>
          <w:i/>
          <w:iCs/>
          <w:sz w:val="24"/>
          <w:szCs w:val="24"/>
        </w:rPr>
        <w:t>Oecologia</w:t>
      </w:r>
      <w:r w:rsidRPr="00F36D35">
        <w:rPr>
          <w:rFonts w:ascii="Times New Roman" w:hAnsi="Times New Roman" w:cs="Times New Roman"/>
          <w:sz w:val="24"/>
          <w:szCs w:val="24"/>
        </w:rPr>
        <w:t>, 80(4), 490-497.</w:t>
      </w:r>
    </w:p>
    <w:p w14:paraId="21053DAB" w14:textId="6CC843CC" w:rsidR="00236781" w:rsidRDefault="00236781" w:rsidP="00B705D6">
      <w:pPr>
        <w:spacing w:after="120" w:line="240" w:lineRule="auto"/>
        <w:ind w:left="284" w:hanging="284"/>
        <w:jc w:val="both"/>
        <w:rPr>
          <w:rFonts w:ascii="Times New Roman" w:hAnsi="Times New Roman" w:cs="Times New Roman"/>
          <w:sz w:val="24"/>
          <w:szCs w:val="24"/>
        </w:rPr>
      </w:pPr>
      <w:r w:rsidRPr="00236781">
        <w:rPr>
          <w:rFonts w:ascii="Times New Roman" w:hAnsi="Times New Roman" w:cs="Times New Roman"/>
          <w:sz w:val="24"/>
          <w:szCs w:val="24"/>
        </w:rPr>
        <w:t>Caignard, T., Kremer, A., Firmat, C., Nicolas, M., Venner,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236781">
        <w:rPr>
          <w:rFonts w:ascii="Times New Roman" w:hAnsi="Times New Roman" w:cs="Times New Roman"/>
          <w:sz w:val="24"/>
          <w:szCs w:val="24"/>
        </w:rPr>
        <w:t>Delzon,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favor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705D6">
      <w:pPr>
        <w:spacing w:after="120" w:line="24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Caldwell, C.R., Britz,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3835BB">
        <w:rPr>
          <w:rFonts w:ascii="Times New Roman" w:hAnsi="Times New Roman" w:cs="Times New Roman"/>
          <w:sz w:val="24"/>
          <w:szCs w:val="24"/>
        </w:rPr>
        <w:t>Mirecki,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705D6">
      <w:pPr>
        <w:spacing w:after="120" w:line="24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pPr>
        <w:spacing w:after="120" w:line="24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pPr>
        <w:spacing w:after="120" w:line="24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r w:rsidRPr="00BE38E8">
        <w:rPr>
          <w:rFonts w:ascii="Times New Roman" w:hAnsi="Times New Roman" w:cs="Times New Roman"/>
          <w:i/>
          <w:iCs/>
          <w:color w:val="222222"/>
          <w:sz w:val="24"/>
          <w:szCs w:val="24"/>
          <w:shd w:val="clear" w:color="auto" w:fill="FFFFFF"/>
        </w:rPr>
        <w:t>Oecologia</w:t>
      </w:r>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Rodgerson,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elaiosome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AA33F4">
        <w:rPr>
          <w:rFonts w:ascii="Times New Roman" w:hAnsi="Times New Roman" w:cs="Times New Roman"/>
          <w:color w:val="222222"/>
          <w:sz w:val="24"/>
          <w:szCs w:val="24"/>
          <w:shd w:val="clear" w:color="auto" w:fill="FFFFFF"/>
        </w:rPr>
        <w:t>Türke,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agri‐environment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Puerta-Piñero,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Griffiths, H.M., Ashton, L.A., Walker, A.E., Hasan, F., Evans, T.A., Eggleton,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Guitián,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Gurney, C.M., Prugh,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545D4">
        <w:rPr>
          <w:rFonts w:ascii="Times New Roman" w:hAnsi="Times New Roman" w:cs="Times New Roman"/>
          <w:color w:val="222222"/>
          <w:sz w:val="24"/>
          <w:szCs w:val="24"/>
          <w:shd w:val="clear" w:color="auto" w:fill="FFFFFF"/>
        </w:rPr>
        <w:t>Brashares,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Hämäläinen, A., Broadley, K., Droghini,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Hedhly, A., Hormaza,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Jordano,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Kollmann,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Jongejans, E., Shea, K., Skarpaas,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Ellner,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705D6">
      <w:pPr>
        <w:spacing w:after="120" w:line="240" w:lineRule="auto"/>
        <w:ind w:left="284" w:hanging="284"/>
        <w:jc w:val="both"/>
        <w:rPr>
          <w:rFonts w:ascii="Times New Roman" w:hAnsi="Times New Roman" w:cs="Times New Roman"/>
          <w:color w:val="222222"/>
          <w:sz w:val="24"/>
          <w:szCs w:val="24"/>
          <w:shd w:val="clear" w:color="auto" w:fill="FFFFFF"/>
        </w:rPr>
      </w:pPr>
      <w:bookmarkStart w:id="2" w:name="_Hlk100855506"/>
      <w:r w:rsidRPr="00EC15D4">
        <w:rPr>
          <w:rFonts w:ascii="Times New Roman" w:hAnsi="Times New Roman" w:cs="Times New Roman"/>
          <w:color w:val="222222"/>
          <w:sz w:val="24"/>
          <w:szCs w:val="24"/>
          <w:shd w:val="clear" w:color="auto" w:fill="FFFFFF"/>
        </w:rPr>
        <w:t xml:space="preserve">Jongejans, E., Skarpaas, O., Ferrari, M.J., Long, E.S., Dauer, J.T., Schwarz, C.M., </w:t>
      </w:r>
      <w:r>
        <w:rPr>
          <w:rFonts w:ascii="Times New Roman" w:hAnsi="Times New Roman" w:cs="Times New Roman"/>
          <w:color w:val="222222"/>
          <w:sz w:val="24"/>
          <w:szCs w:val="24"/>
          <w:shd w:val="clear" w:color="auto" w:fill="FFFFFF"/>
        </w:rPr>
        <w:t xml:space="preserve">Rauschert, E.S., Jabbour, R., Mortensen, D.A., Isard, S.A., Lieb, D.A., </w:t>
      </w:r>
      <w:r w:rsidR="00412BAB">
        <w:rPr>
          <w:rFonts w:ascii="Times New Roman" w:hAnsi="Times New Roman" w:cs="Times New Roman"/>
          <w:color w:val="222222"/>
          <w:sz w:val="24"/>
          <w:szCs w:val="24"/>
          <w:shd w:val="clear" w:color="auto" w:fill="FFFFFF"/>
        </w:rPr>
        <w:t>Sezen, Z., Hulting,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C. acanthoides</w:t>
      </w:r>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Jordano,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García-Castaño,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DD549F">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lastRenderedPageBreak/>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705D6">
      <w:pPr>
        <w:spacing w:after="120" w:line="24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D1071">
        <w:rPr>
          <w:rFonts w:ascii="Times New Roman" w:hAnsi="Times New Roman" w:cs="Times New Roman"/>
          <w:sz w:val="24"/>
          <w:szCs w:val="24"/>
          <w:shd w:val="clear" w:color="auto" w:fill="FFFFFF"/>
        </w:rPr>
        <w:t>Kowarik,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705D6">
      <w:pPr>
        <w:spacing w:after="120" w:line="24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705D6">
      <w:pPr>
        <w:spacing w:after="120" w:line="240" w:lineRule="auto"/>
        <w:ind w:left="284" w:hanging="284"/>
        <w:jc w:val="both"/>
        <w:rPr>
          <w:rFonts w:ascii="Times New Roman" w:hAnsi="Times New Roman" w:cs="Times New Roman"/>
          <w:sz w:val="24"/>
          <w:szCs w:val="24"/>
          <w:shd w:val="clear" w:color="auto" w:fill="FFFFFF"/>
        </w:rPr>
      </w:pPr>
      <w:r w:rsidRPr="00AA33F4">
        <w:rPr>
          <w:rFonts w:ascii="Times New Roman" w:hAnsi="Times New Roman" w:cs="Times New Roman"/>
          <w:sz w:val="24"/>
          <w:szCs w:val="24"/>
          <w:shd w:val="clear" w:color="auto" w:fill="FFFFFF"/>
        </w:rPr>
        <w:t>Linabury,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AA33F4">
        <w:rPr>
          <w:rFonts w:ascii="Times New Roman" w:hAnsi="Times New Roman" w:cs="Times New Roman"/>
          <w:sz w:val="24"/>
          <w:szCs w:val="24"/>
          <w:shd w:val="clear" w:color="auto" w:fill="FFFFFF"/>
        </w:rPr>
        <w:t>Brudvig,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Pr="009D1071" w:rsidRDefault="00663B48" w:rsidP="00B705D6">
      <w:pPr>
        <w:spacing w:after="120" w:line="240" w:lineRule="auto"/>
        <w:ind w:left="284" w:hanging="284"/>
        <w:jc w:val="both"/>
        <w:rPr>
          <w:rFonts w:ascii="Times New Roman" w:hAnsi="Times New Roman" w:cs="Times New Roman"/>
          <w:sz w:val="24"/>
          <w:szCs w:val="24"/>
          <w:shd w:val="clear" w:color="auto" w:fill="FFFFFF"/>
        </w:rPr>
      </w:pPr>
      <w:r w:rsidRPr="00663B48">
        <w:rPr>
          <w:rFonts w:ascii="Times New Roman" w:hAnsi="Times New Roman" w:cs="Times New Roman"/>
          <w:sz w:val="24"/>
          <w:szCs w:val="24"/>
          <w:shd w:val="clear" w:color="auto" w:fill="FFFFFF"/>
        </w:rPr>
        <w:t xml:space="preserve">LoPresti, E.F., Stessman,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39338E25" w14:textId="5B9BF9B0" w:rsidR="0068123F" w:rsidRDefault="0068123F" w:rsidP="00B705D6">
      <w:pPr>
        <w:spacing w:after="120" w:line="24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grainbelt.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705D6">
      <w:pPr>
        <w:spacing w:after="120" w:line="240" w:lineRule="auto"/>
        <w:ind w:left="284" w:hanging="284"/>
        <w:jc w:val="both"/>
        <w:rPr>
          <w:rFonts w:ascii="Times New Roman" w:hAnsi="Times New Roman" w:cs="Times New Roman"/>
          <w:sz w:val="24"/>
          <w:szCs w:val="24"/>
          <w:shd w:val="clear" w:color="auto" w:fill="FFFFFF"/>
        </w:rPr>
      </w:pPr>
      <w:r w:rsidRPr="00E57B27">
        <w:rPr>
          <w:rFonts w:ascii="Times New Roman" w:hAnsi="Times New Roman" w:cs="Times New Roman"/>
          <w:sz w:val="24"/>
          <w:szCs w:val="24"/>
          <w:shd w:val="clear" w:color="auto" w:fill="FFFFFF"/>
        </w:rPr>
        <w:t>Mokany,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705D6">
      <w:pPr>
        <w:spacing w:after="120" w:line="240" w:lineRule="auto"/>
        <w:ind w:left="284" w:hanging="284"/>
        <w:jc w:val="both"/>
        <w:rPr>
          <w:rFonts w:ascii="Times New Roman" w:hAnsi="Times New Roman" w:cs="Times New Roman"/>
          <w:sz w:val="24"/>
          <w:szCs w:val="24"/>
          <w:shd w:val="clear" w:color="auto" w:fill="FFFFFF"/>
        </w:rPr>
      </w:pPr>
      <w:r w:rsidRPr="001B533C">
        <w:rPr>
          <w:rFonts w:ascii="Times New Roman" w:hAnsi="Times New Roman" w:cs="Times New Roman"/>
          <w:sz w:val="24"/>
          <w:szCs w:val="24"/>
          <w:shd w:val="clear" w:color="auto" w:fill="FFFFFF"/>
        </w:rPr>
        <w:t>Molau, U. &amp; Mølgaard, P. (1996). International Tundra Experiment Manual. Danish Polar Centre, Copenhagen.</w:t>
      </w:r>
    </w:p>
    <w:p w14:paraId="7F665E3E" w14:textId="2DF3B292"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Elaiosomes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F5383">
        <w:rPr>
          <w:rFonts w:ascii="Times New Roman" w:hAnsi="Times New Roman" w:cs="Times New Roman"/>
          <w:color w:val="222222"/>
          <w:sz w:val="24"/>
          <w:szCs w:val="24"/>
          <w:shd w:val="clear" w:color="auto" w:fill="FFFFFF"/>
        </w:rPr>
        <w:t>Crist,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Pausas,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r w:rsidRPr="00BE38E8">
        <w:rPr>
          <w:rFonts w:ascii="Times New Roman" w:hAnsi="Times New Roman" w:cs="Times New Roman"/>
          <w:i/>
          <w:iCs/>
          <w:color w:val="222222"/>
          <w:sz w:val="24"/>
          <w:szCs w:val="24"/>
          <w:shd w:val="clear" w:color="auto" w:fill="FFFFFF"/>
        </w:rPr>
        <w:t>Oecologia</w:t>
      </w:r>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Reiter, J., Curio, E., Tacud,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r w:rsidRPr="00BE38E8">
        <w:rPr>
          <w:rFonts w:ascii="Times New Roman" w:hAnsi="Times New Roman" w:cs="Times New Roman"/>
          <w:i/>
          <w:iCs/>
          <w:color w:val="222222"/>
          <w:sz w:val="24"/>
          <w:szCs w:val="24"/>
          <w:shd w:val="clear" w:color="auto" w:fill="FFFFFF"/>
        </w:rPr>
        <w:t>Biotropica</w:t>
      </w:r>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Rogers, H.S., Beckman, N.G., Hartig, F., Johnson, J.S., Pufal, G., Shea, K., Zurell,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51781">
        <w:rPr>
          <w:rFonts w:ascii="Times New Roman" w:hAnsi="Times New Roman" w:cs="Times New Roman"/>
          <w:color w:val="222222"/>
          <w:sz w:val="24"/>
          <w:szCs w:val="24"/>
          <w:shd w:val="clear" w:color="auto" w:fill="FFFFFF"/>
        </w:rPr>
        <w:t>Pejchar,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r w:rsidRPr="00BE38E8">
        <w:rPr>
          <w:rFonts w:ascii="Times New Roman" w:hAnsi="Times New Roman" w:cs="Times New Roman"/>
          <w:i/>
          <w:iCs/>
          <w:color w:val="222222"/>
          <w:sz w:val="24"/>
          <w:szCs w:val="24"/>
          <w:shd w:val="clear" w:color="auto" w:fill="FFFFFF"/>
        </w:rPr>
        <w:t>AoB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Sales, L.P., Kissling, W.D., Galetti, M., Naimi,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Sato, S., Kamiyama,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w:t>
      </w:r>
      <w:r w:rsidRPr="00236781">
        <w:rPr>
          <w:rFonts w:ascii="Times New Roman" w:hAnsi="Times New Roman" w:cs="Times New Roman"/>
          <w:color w:val="222222"/>
          <w:sz w:val="24"/>
          <w:szCs w:val="24"/>
          <w:shd w:val="clear" w:color="auto" w:fill="FFFFFF"/>
        </w:rPr>
        <w:lastRenderedPageBreak/>
        <w:t xml:space="preserve">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04FAB">
        <w:rPr>
          <w:rFonts w:ascii="Times New Roman" w:hAnsi="Times New Roman" w:cs="Times New Roman"/>
          <w:color w:val="222222"/>
          <w:sz w:val="24"/>
          <w:szCs w:val="24"/>
          <w:shd w:val="clear" w:color="auto" w:fill="FFFFFF"/>
        </w:rPr>
        <w:t>Konuma,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Skarpaas,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F65A3F">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94E95">
        <w:rPr>
          <w:rFonts w:ascii="Times New Roman" w:hAnsi="Times New Roman" w:cs="Times New Roman"/>
          <w:color w:val="222222"/>
          <w:sz w:val="24"/>
          <w:szCs w:val="24"/>
          <w:shd w:val="clear" w:color="auto" w:fill="FFFFFF"/>
        </w:rPr>
        <w:t>Rew,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Thomas, J.M.G., Boote,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r w:rsidRPr="00B8707D">
        <w:rPr>
          <w:rFonts w:ascii="Times New Roman" w:hAnsi="Times New Roman" w:cs="Times New Roman"/>
          <w:color w:val="222222"/>
          <w:sz w:val="24"/>
          <w:szCs w:val="24"/>
          <w:shd w:val="clear" w:color="auto" w:fill="FFFFFF"/>
        </w:rPr>
        <w:t>, B., Körner,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707D">
        <w:rPr>
          <w:rFonts w:ascii="Times New Roman" w:hAnsi="Times New Roman" w:cs="Times New Roman"/>
          <w:color w:val="222222"/>
          <w:sz w:val="24"/>
          <w:szCs w:val="24"/>
          <w:shd w:val="clear" w:color="auto" w:fill="FFFFFF"/>
        </w:rPr>
        <w:t>Stöcklin,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Bocedi, G., Baguette, M., Bartoń, K., Bonte, D., </w:t>
      </w:r>
      <w:r>
        <w:rPr>
          <w:rFonts w:ascii="Times New Roman" w:hAnsi="Times New Roman" w:cs="Times New Roman"/>
          <w:color w:val="222222"/>
          <w:sz w:val="24"/>
          <w:szCs w:val="24"/>
          <w:shd w:val="clear" w:color="auto" w:fill="FFFFFF"/>
        </w:rPr>
        <w:t>Boulangeat, I., Hodgson, J.A., Kubisch, A., Penteriani, V., Saastamoinen,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8E002A">
        <w:rPr>
          <w:rFonts w:ascii="Times New Roman" w:hAnsi="Times New Roman" w:cs="Times New Roman"/>
          <w:color w:val="222222"/>
          <w:sz w:val="24"/>
          <w:szCs w:val="24"/>
          <w:shd w:val="clear" w:color="auto" w:fill="FFFFFF"/>
        </w:rPr>
        <w:t>Kok,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C2638">
        <w:rPr>
          <w:rFonts w:ascii="Times New Roman" w:hAnsi="Times New Roman" w:cs="Times New Roman"/>
          <w:color w:val="222222"/>
          <w:sz w:val="24"/>
          <w:szCs w:val="24"/>
          <w:shd w:val="clear" w:color="auto" w:fill="FFFFFF"/>
        </w:rPr>
        <w:t>Longland,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Diplochory: are two seed dispersers better than one?.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286EBE">
      <w:pPr>
        <w:spacing w:after="120" w:line="24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Veldman,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r w:rsidRPr="00BE38E8">
        <w:rPr>
          <w:rFonts w:ascii="Times New Roman" w:hAnsi="Times New Roman" w:cs="Times New Roman"/>
          <w:i/>
          <w:iCs/>
          <w:color w:val="222222"/>
          <w:sz w:val="24"/>
          <w:szCs w:val="24"/>
          <w:shd w:val="clear" w:color="auto" w:fill="FFFFFF"/>
        </w:rPr>
        <w:t>Biotropica</w:t>
      </w:r>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lastRenderedPageBreak/>
        <w:t>Von Der Lippe, M., Bullock, J.M., Kowarik, I., Knopp,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r w:rsidRPr="00BE38E8">
        <w:rPr>
          <w:rFonts w:ascii="Times New Roman" w:hAnsi="Times New Roman" w:cs="Times New Roman"/>
          <w:i/>
          <w:iCs/>
          <w:color w:val="222222"/>
          <w:sz w:val="24"/>
          <w:szCs w:val="24"/>
          <w:shd w:val="clear" w:color="auto" w:fill="FFFFFF"/>
        </w:rPr>
        <w:t xml:space="preserve">PloS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Way, D.A., Ladeau, S.L., McCarthy, H.R., Clark, J.S., Oren, R.A.M., Finzi,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taeda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Wichmann, M.C., Alexander, M.J., Soons, M.B., Galsworthy, S., Dunne, L., Gould, R., Fairfax, C., Niggemann,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r w:rsidRPr="00BE38E8">
        <w:rPr>
          <w:rFonts w:ascii="Times New Roman" w:hAnsi="Times New Roman" w:cs="Times New Roman"/>
          <w:color w:val="222222"/>
          <w:sz w:val="24"/>
          <w:szCs w:val="24"/>
          <w:shd w:val="clear" w:color="auto" w:fill="FFFFFF"/>
        </w:rPr>
        <w:t xml:space="preserve">Sissons,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r w:rsidRPr="00BE38E8">
        <w:rPr>
          <w:rFonts w:ascii="Times New Roman" w:hAnsi="Times New Roman" w:cs="Times New Roman"/>
          <w:i/>
          <w:iCs/>
          <w:color w:val="222222"/>
          <w:sz w:val="24"/>
          <w:szCs w:val="24"/>
          <w:shd w:val="clear" w:color="auto" w:fill="FFFFFF"/>
        </w:rPr>
        <w:t>NeoBiota</w:t>
      </w:r>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705D6">
      <w:pPr>
        <w:spacing w:after="120" w:line="24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BE38E8">
        <w:rPr>
          <w:rFonts w:ascii="Times New Roman" w:hAnsi="Times New Roman" w:cs="Times New Roman"/>
          <w:i/>
          <w:iCs/>
          <w:color w:val="222222"/>
          <w:sz w:val="24"/>
          <w:szCs w:val="24"/>
          <w:shd w:val="clear" w:color="auto" w:fill="FFFFFF"/>
        </w:rPr>
        <w:t>PLoS</w:t>
      </w:r>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6F335E">
      <w:pPr>
        <w:spacing w:line="24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unwarmed maternal plants and without elaiosomes.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acanthoides</w:t>
            </w:r>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pPr>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1DB441C9" w:rsidR="00F018BE" w:rsidRDefault="00AF6E01" w:rsidP="0084228F">
      <w:r w:rsidRPr="00AF6E01">
        <w:rPr>
          <w:noProof/>
        </w:rPr>
        <w:t xml:space="preserve"> </w:t>
      </w: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F018BE">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maternal plant is warmed or unwarmed</w:t>
      </w:r>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t>
      </w:r>
      <w:r w:rsidR="0081427D">
        <w:rPr>
          <w:rFonts w:ascii="Times New Roman" w:hAnsi="Times New Roman" w:cs="Times New Roman"/>
          <w:sz w:val="24"/>
          <w:szCs w:val="24"/>
        </w:rPr>
        <w:t>elaiosome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6T20:45:00Z" w:initials="DT">
    <w:p w14:paraId="62D7F71C" w14:textId="77777777" w:rsidR="00663B48" w:rsidRDefault="00663B48" w:rsidP="005B62E8">
      <w:pPr>
        <w:pStyle w:val="CommentText"/>
      </w:pPr>
      <w:r>
        <w:rPr>
          <w:rStyle w:val="CommentReference"/>
        </w:rPr>
        <w:annotationRef/>
      </w:r>
      <w:r>
        <w:t>Added reference to the LoPresti paper you sent.</w:t>
      </w:r>
    </w:p>
  </w:comment>
  <w:comment w:id="1" w:author="Drees, Trevor [2]" w:date="2023-02-12T09:28:00Z" w:initials="DT">
    <w:p w14:paraId="6A17F70A" w14:textId="2282F935"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7F71C"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44E" w16cex:dateUtc="2023-02-17T04:45: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7F71C" w16cid:durableId="2799144E"/>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7"/>
  </w:num>
  <w:num w:numId="2" w16cid:durableId="1936479973">
    <w:abstractNumId w:val="0"/>
  </w:num>
  <w:num w:numId="3" w16cid:durableId="1432776983">
    <w:abstractNumId w:val="2"/>
  </w:num>
  <w:num w:numId="4" w16cid:durableId="2054886005">
    <w:abstractNumId w:val="3"/>
  </w:num>
  <w:num w:numId="5" w16cid:durableId="658116208">
    <w:abstractNumId w:val="6"/>
  </w:num>
  <w:num w:numId="6" w16cid:durableId="1831751339">
    <w:abstractNumId w:val="8"/>
  </w:num>
  <w:num w:numId="7" w16cid:durableId="1960599970">
    <w:abstractNumId w:val="9"/>
  </w:num>
  <w:num w:numId="8" w16cid:durableId="1111706329">
    <w:abstractNumId w:val="5"/>
  </w:num>
  <w:num w:numId="9" w16cid:durableId="128548151">
    <w:abstractNumId w:val="4"/>
  </w:num>
  <w:num w:numId="10" w16cid:durableId="6162579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Drees, Trevor [2]">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1F15"/>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4DB"/>
    <w:rsid w:val="00B20BA4"/>
    <w:rsid w:val="00B26FC5"/>
    <w:rsid w:val="00B3111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E32CD"/>
    <w:rsid w:val="00CE606C"/>
    <w:rsid w:val="00CF4EA1"/>
    <w:rsid w:val="00CF6E1C"/>
    <w:rsid w:val="00D1188E"/>
    <w:rsid w:val="00D121CC"/>
    <w:rsid w:val="00D15DF0"/>
    <w:rsid w:val="00D17587"/>
    <w:rsid w:val="00D34C40"/>
    <w:rsid w:val="00D40D3C"/>
    <w:rsid w:val="00D509FF"/>
    <w:rsid w:val="00D53D74"/>
    <w:rsid w:val="00D72390"/>
    <w:rsid w:val="00D77BEA"/>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392"/>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11932</TotalTime>
  <Pages>19</Pages>
  <Words>7599</Words>
  <Characters>43316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95</cp:revision>
  <dcterms:created xsi:type="dcterms:W3CDTF">2021-10-02T01:15:00Z</dcterms:created>
  <dcterms:modified xsi:type="dcterms:W3CDTF">2023-02-17T06:11:00Z</dcterms:modified>
</cp:coreProperties>
</file>