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1C18" w14:textId="63AF2DED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Supporting Information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Drees, T.H. and K. Shea. 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Climate warming increases insect-driven seed removal of two el</w:t>
      </w:r>
      <w:r w:rsidR="00280C12" w:rsidRPr="009C5387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osome-bearing invasive thistle species</w:t>
      </w:r>
      <w:r w:rsidR="0099715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C4B28" w:rsidRPr="009C538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0126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Ecology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46769" w14:textId="7123655D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Appendix S1.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Parametric survival model methods and results, as well as qualitative comparison</w:t>
      </w:r>
      <w:r w:rsidR="00B847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to GLMs for seed removal.</w:t>
      </w:r>
    </w:p>
    <w:p w14:paraId="09A0915C" w14:textId="6FF51FC8" w:rsidR="00B2677A" w:rsidRPr="009C5387" w:rsidRDefault="00B2677A" w:rsidP="00B267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CC2DC" w14:textId="4042D2C1" w:rsidR="00CF0B41" w:rsidRPr="009C5387" w:rsidRDefault="00CF0B41" w:rsidP="00CF0B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Survival Analyses</w:t>
      </w:r>
    </w:p>
    <w:p w14:paraId="29D11FB0" w14:textId="228B3568" w:rsidR="00B2677A" w:rsidRPr="009C5387" w:rsidRDefault="00B2677A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To qualitatively compare our results derived from GLMs to those from a more </w:t>
      </w:r>
      <w:r w:rsidR="001C7962" w:rsidRPr="009C5387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survival analysis, we fit parametric survival models for each species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>Before fitting the survival models, the data were re-structured as single-seed entries with time of removal (if removed) rather than per-depot counts at various time points.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Models were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fit using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survreg</w:t>
      </w:r>
      <w:r w:rsidR="004153E2" w:rsidRPr="009C538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function from the package </w:t>
      </w:r>
      <w:r w:rsidR="004153E2" w:rsidRPr="009C5387">
        <w:rPr>
          <w:rFonts w:ascii="Consolas" w:hAnsi="Consolas" w:cs="Times New Roman"/>
          <w:b/>
          <w:bCs/>
          <w:sz w:val="23"/>
          <w:szCs w:val="23"/>
          <w:lang w:val="en-US"/>
        </w:rPr>
        <w:t>survival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version 3.4-0 (Therneau 2022)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to seed removal as a response; elaiosome and warming treatments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 as well as their interaction,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were encoded as fixed effects. 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FF46AD">
        <w:rPr>
          <w:rFonts w:ascii="Times New Roman" w:hAnsi="Times New Roman" w:cs="Times New Roman"/>
          <w:sz w:val="24"/>
          <w:szCs w:val="24"/>
          <w:lang w:val="en-US"/>
        </w:rPr>
        <w:t xml:space="preserve"> at the moment,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this package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(like many similar survival model packages)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does not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fully</w:t>
      </w:r>
      <w:r w:rsidR="00EF2A7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support random effects for 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>the parametric survival models, so we have encoded</w:t>
      </w:r>
      <w:r w:rsidR="006749B6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block as a fixed effect instead. This</w:t>
      </w:r>
      <w:r w:rsidR="004153E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encoding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still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allows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us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account for spatial variation in seed removal rates within the experiment, but does</w:t>
      </w:r>
      <w:r w:rsidR="00EE2A29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not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extend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estimat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ion of</w:t>
      </w:r>
      <w:r w:rsidR="001F17A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spatial variation outside the context of this experiment.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These models were fit testing two</w:t>
      </w:r>
      <w:r w:rsidR="002C5ACD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parameteri</w:t>
      </w:r>
      <w:r w:rsidR="0084430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ations of the survival and hazard functions: an exponential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F068D0">
        <w:rPr>
          <w:rFonts w:ascii="Times New Roman" w:hAnsi="Times New Roman" w:cs="Times New Roman"/>
          <w:sz w:val="24"/>
          <w:szCs w:val="24"/>
          <w:lang w:val="en-US"/>
        </w:rPr>
        <w:t xml:space="preserve"> baseline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hazard and a Weibull distribution 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with a 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time-varying hazard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, similar to the survival analyses </w:t>
      </w:r>
      <w:r w:rsidR="00E511A9">
        <w:rPr>
          <w:rFonts w:ascii="Times New Roman" w:hAnsi="Times New Roman" w:cs="Times New Roman"/>
          <w:sz w:val="24"/>
          <w:szCs w:val="24"/>
          <w:lang w:val="en-US"/>
        </w:rPr>
        <w:t xml:space="preserve">outlined 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Jones </w:t>
      </w:r>
      <w:r w:rsidR="00A273D7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et al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4680"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273D7" w:rsidRPr="009C5387">
        <w:rPr>
          <w:rFonts w:ascii="Times New Roman" w:hAnsi="Times New Roman" w:cs="Times New Roman"/>
          <w:sz w:val="24"/>
          <w:szCs w:val="24"/>
          <w:lang w:val="en-US"/>
        </w:rPr>
        <w:t>2023</w:t>
      </w:r>
      <w:r w:rsidR="00395034" w:rsidRPr="009C538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40B30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03800" w14:textId="7FC57A8E" w:rsidR="00395034" w:rsidRPr="009C5387" w:rsidRDefault="00395034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Comparing </w:t>
      </w:r>
      <w:r w:rsidR="004E058E">
        <w:rPr>
          <w:rFonts w:ascii="Times New Roman" w:hAnsi="Times New Roman" w:cs="Times New Roman"/>
          <w:sz w:val="24"/>
          <w:szCs w:val="24"/>
          <w:lang w:val="en-US"/>
        </w:rPr>
        <w:t xml:space="preserve">models fit with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the Weibull and exponential distributions, the </w:t>
      </w:r>
      <w:r w:rsidR="00A63583">
        <w:rPr>
          <w:rFonts w:ascii="Times New Roman" w:hAnsi="Times New Roman" w:cs="Times New Roman"/>
          <w:sz w:val="24"/>
          <w:szCs w:val="24"/>
          <w:lang w:val="en-US"/>
        </w:rPr>
        <w:t>former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had a lower AIC in both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(6911 versus 6947) and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acanthoides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(7019 versus 7271)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>; this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583">
        <w:rPr>
          <w:rFonts w:ascii="Times New Roman" w:hAnsi="Times New Roman" w:cs="Times New Roman"/>
          <w:sz w:val="24"/>
          <w:szCs w:val="24"/>
          <w:lang w:val="en-US"/>
        </w:rPr>
        <w:t>suggest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583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between the two distributions,</w:t>
      </w:r>
      <w:r w:rsidR="00A63583">
        <w:rPr>
          <w:rFonts w:ascii="Times New Roman" w:hAnsi="Times New Roman" w:cs="Times New Roman"/>
          <w:sz w:val="24"/>
          <w:szCs w:val="24"/>
          <w:lang w:val="en-US"/>
        </w:rPr>
        <w:t xml:space="preserve"> the Weibull is </w:t>
      </w:r>
      <w:r w:rsidR="00EE07E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more reasonable approximation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583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survival and hazard functions</w:t>
      </w:r>
      <w:r w:rsidR="0099715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13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01BFA" w:rsidRPr="009C5387">
        <w:rPr>
          <w:rFonts w:ascii="Times New Roman" w:hAnsi="Times New Roman" w:cs="Times New Roman"/>
          <w:sz w:val="24"/>
          <w:szCs w:val="24"/>
          <w:lang w:val="en-US"/>
        </w:rPr>
        <w:t>isk of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seed</w:t>
      </w:r>
      <w:r w:rsidR="00D01BF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removal</w:t>
      </w:r>
      <w:r w:rsidR="00D71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1BFA" w:rsidRPr="009C5387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D713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1BF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over time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in both species</w:t>
      </w:r>
      <w:r w:rsidR="009B0CF5">
        <w:rPr>
          <w:rFonts w:ascii="Times New Roman" w:hAnsi="Times New Roman" w:cs="Times New Roman"/>
          <w:sz w:val="24"/>
          <w:szCs w:val="24"/>
          <w:lang w:val="en-US"/>
        </w:rPr>
        <w:t xml:space="preserve">, as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B847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fit </w:t>
      </w:r>
      <w:r w:rsidR="00D713F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 Weibull distribution had scale parameter</w:t>
      </w:r>
      <w:r w:rsidR="00B847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1FE">
        <w:rPr>
          <w:rFonts w:ascii="Times New Roman" w:hAnsi="Times New Roman" w:cs="Times New Roman"/>
          <w:sz w:val="24"/>
          <w:szCs w:val="24"/>
          <w:lang w:val="en-US"/>
        </w:rPr>
        <w:t>less than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D713F8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="00D01B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0.84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nutans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Hlk127305542"/>
      <w:r w:rsidRPr="009C538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1000,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-6.418,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</w:t>
      </w:r>
      <w:bookmarkEnd w:id="0"/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and 0.62 in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C. acanthoides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975,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= -17.534, </w:t>
      </w:r>
      <w:r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&lt; 0.001).</w:t>
      </w:r>
    </w:p>
    <w:p w14:paraId="38995E81" w14:textId="6BBC845C" w:rsidR="001F17A5" w:rsidRPr="009C5387" w:rsidRDefault="00CE0A62" w:rsidP="00D845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As can be seen in Table S1, </w:t>
      </w:r>
      <w:r w:rsidR="006749B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or both species, </w:t>
      </w:r>
      <w:r w:rsidR="0070640E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significant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negative coefficients on warming and elaiosome treatments indicate that </w:t>
      </w:r>
      <w:r w:rsidR="00CF0B41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elaiosome presence and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increased growing temperatures each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5531A5" w:rsidRPr="009C538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F0156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time it takes for a seed to be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4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5D64">
        <w:rPr>
          <w:rFonts w:ascii="Times New Roman" w:hAnsi="Times New Roman" w:cs="Times New Roman"/>
          <w:sz w:val="24"/>
          <w:szCs w:val="24"/>
          <w:lang w:val="en-US"/>
        </w:rPr>
        <w:t>These results are similar to those observed using the GLMs</w:t>
      </w:r>
      <w:r w:rsidR="006749B6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Note that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while they convey the</w:t>
      </w:r>
      <w:r w:rsidR="00FD0126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F0156">
        <w:rPr>
          <w:rFonts w:ascii="Times New Roman" w:hAnsi="Times New Roman" w:cs="Times New Roman"/>
          <w:sz w:val="24"/>
          <w:szCs w:val="24"/>
          <w:lang w:val="en-US"/>
        </w:rPr>
        <w:t>trend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the treatment coefficients have opposite signs when compared between Table 1 (</w:t>
      </w:r>
      <w:r w:rsidR="000A57BA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main text) and Table S1 since the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model for the former examines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proportion of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seeds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removed</w:t>
      </w:r>
      <w:r w:rsidR="000F3302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as the response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, while the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model for the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latter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examines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>how long seeds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9BA" w:rsidRPr="009C5387">
        <w:rPr>
          <w:rFonts w:ascii="Times New Roman" w:hAnsi="Times New Roman" w:cs="Times New Roman"/>
          <w:i/>
          <w:iCs/>
          <w:sz w:val="24"/>
          <w:szCs w:val="24"/>
          <w:lang w:val="en-US"/>
        </w:rPr>
        <w:t>remain</w:t>
      </w:r>
      <w:r w:rsidR="008E5A45"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before being removed</w:t>
      </w:r>
      <w:r w:rsidR="00E629BA" w:rsidRPr="009C53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AAD5A5" w14:textId="46D2E98B" w:rsidR="00C75B28" w:rsidRPr="009C5387" w:rsidRDefault="00C75B28" w:rsidP="000F3302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5641BB" w14:textId="4A0AA242" w:rsidR="00C75B28" w:rsidRPr="009C5387" w:rsidRDefault="00C75B28" w:rsidP="00C75B2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2B36162C" w14:textId="23D3790A" w:rsidR="00C75B28" w:rsidRPr="009C5387" w:rsidRDefault="00C75B28" w:rsidP="00C75B28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Therneau, T.M. (2022).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Package ‘survival’, version 3.4-0. </w:t>
      </w:r>
      <w:r w:rsidR="00DC7E6A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https://cran.r-project.org/web/pac- </w:t>
      </w:r>
      <w:r w:rsidR="00160A08" w:rsidRPr="009C538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kages/survival/index.html</w:t>
      </w:r>
    </w:p>
    <w:p w14:paraId="696B02C8" w14:textId="386BE2CC" w:rsidR="000849BC" w:rsidRPr="009C5387" w:rsidRDefault="00A273D7" w:rsidP="00395034">
      <w:pPr>
        <w:spacing w:after="12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5387">
        <w:rPr>
          <w:rFonts w:ascii="Times New Roman" w:hAnsi="Times New Roman" w:cs="Times New Roman"/>
          <w:sz w:val="24"/>
          <w:szCs w:val="24"/>
          <w:lang w:val="en-US"/>
        </w:rPr>
        <w:t>Jones, E., Harden, S., &amp; Crawley, M.J. (2023). The R Book (3</w:t>
      </w:r>
      <w:r w:rsidRPr="009C538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 xml:space="preserve"> ed.). John Wiley and Sons.</w:t>
      </w:r>
    </w:p>
    <w:p w14:paraId="48DCA7E8" w14:textId="3B2DF8A9" w:rsidR="000849BC" w:rsidRDefault="000849BC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C53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S1. </w:t>
      </w:r>
      <w:r w:rsidRPr="009C5387">
        <w:rPr>
          <w:rFonts w:ascii="Times New Roman" w:hAnsi="Times New Roman" w:cs="Times New Roman"/>
          <w:sz w:val="24"/>
          <w:szCs w:val="24"/>
          <w:lang w:val="en-US"/>
        </w:rPr>
        <w:t>Estimates 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±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standard error),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-scores,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-values for the coefficients of the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parametric survival models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95034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fit with</w:t>
      </w:r>
      <w:r w:rsidR="00C75B28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Weibull survival/hazard functions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. The intercept (baseline) represents seeds from unwarmed maternal plants and without elaiosomes</w:t>
      </w:r>
      <w:r w:rsidR="000F3302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the first experimental block</w:t>
      </w:r>
      <w:r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Estimates must be 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>exponentiated to yield mean time to</w:t>
      </w:r>
      <w:r w:rsidR="009B0CF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seed</w:t>
      </w:r>
      <w:r w:rsidR="004717B3" w:rsidRPr="009C538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removal</w:t>
      </w:r>
      <w:r w:rsidR="009B0CF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5DD5F5DE" w14:textId="77777777" w:rsidR="00BB0F29" w:rsidRPr="009C5387" w:rsidRDefault="00BB0F29" w:rsidP="000849BC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586"/>
        <w:gridCol w:w="905"/>
        <w:gridCol w:w="849"/>
        <w:gridCol w:w="563"/>
        <w:gridCol w:w="1587"/>
        <w:gridCol w:w="907"/>
        <w:gridCol w:w="852"/>
      </w:tblGrid>
      <w:tr w:rsidR="000849BC" w:rsidRPr="009C5387" w14:paraId="20BA2483" w14:textId="77777777" w:rsidTr="00073108">
        <w:tc>
          <w:tcPr>
            <w:tcW w:w="2107" w:type="dxa"/>
            <w:tcBorders>
              <w:bottom w:val="single" w:sz="18" w:space="0" w:color="auto"/>
            </w:tcBorders>
          </w:tcPr>
          <w:p w14:paraId="542245F9" w14:textId="77777777" w:rsidR="000849BC" w:rsidRPr="009C5387" w:rsidRDefault="000849BC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0" w:type="dxa"/>
            <w:gridSpan w:val="3"/>
            <w:tcBorders>
              <w:bottom w:val="single" w:sz="18" w:space="0" w:color="auto"/>
            </w:tcBorders>
          </w:tcPr>
          <w:p w14:paraId="41E3415E" w14:textId="6B49FB94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nutans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1000)</w:t>
            </w:r>
          </w:p>
        </w:tc>
        <w:tc>
          <w:tcPr>
            <w:tcW w:w="563" w:type="dxa"/>
            <w:tcBorders>
              <w:bottom w:val="single" w:sz="18" w:space="0" w:color="auto"/>
            </w:tcBorders>
          </w:tcPr>
          <w:p w14:paraId="464F79CE" w14:textId="77777777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346" w:type="dxa"/>
            <w:gridSpan w:val="3"/>
            <w:tcBorders>
              <w:bottom w:val="single" w:sz="18" w:space="0" w:color="auto"/>
            </w:tcBorders>
            <w:vAlign w:val="center"/>
          </w:tcPr>
          <w:p w14:paraId="7200B8B0" w14:textId="75E5A613" w:rsidR="000849BC" w:rsidRPr="009C5387" w:rsidRDefault="000849B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C. acanthoides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</w:t>
            </w: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n</w:t>
            </w: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= 975)</w:t>
            </w:r>
          </w:p>
        </w:tc>
      </w:tr>
      <w:tr w:rsidR="00073108" w:rsidRPr="009C5387" w14:paraId="6FB1F4B4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1028097A" w14:textId="77777777" w:rsidR="006D58E0" w:rsidRPr="009C5387" w:rsidRDefault="006D58E0" w:rsidP="002048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B004357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4245F63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026C1955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0814867B" w14:textId="77777777" w:rsidR="006D58E0" w:rsidRPr="009C5387" w:rsidDel="00EC462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677E3CC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106ABBAE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69AEBDBD" w14:textId="77777777" w:rsidR="006D58E0" w:rsidRPr="009C5387" w:rsidRDefault="006D58E0" w:rsidP="0020480D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1857EB2A" w14:textId="77777777" w:rsidTr="00073108">
        <w:trPr>
          <w:trHeight w:val="283"/>
        </w:trPr>
        <w:tc>
          <w:tcPr>
            <w:tcW w:w="2107" w:type="dxa"/>
            <w:tcBorders>
              <w:bottom w:val="single" w:sz="4" w:space="0" w:color="auto"/>
            </w:tcBorders>
          </w:tcPr>
          <w:p w14:paraId="3BF5806C" w14:textId="31A1C9E1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14:paraId="544C7717" w14:textId="6E9A24C9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14818E9E" w14:textId="2A822B9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4948EE08" w14:textId="5ECEB0A5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  <w:tc>
          <w:tcPr>
            <w:tcW w:w="563" w:type="dxa"/>
            <w:tcBorders>
              <w:bottom w:val="single" w:sz="4" w:space="0" w:color="auto"/>
            </w:tcBorders>
          </w:tcPr>
          <w:p w14:paraId="0DE09050" w14:textId="77777777" w:rsidR="006D58E0" w:rsidRPr="009C5387" w:rsidDel="00EC462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7B0CF3A6" w14:textId="3A5B88A7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14:paraId="3AEC160D" w14:textId="649638E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z</w:t>
            </w:r>
          </w:p>
        </w:tc>
        <w:tc>
          <w:tcPr>
            <w:tcW w:w="852" w:type="dxa"/>
            <w:tcBorders>
              <w:bottom w:val="single" w:sz="4" w:space="0" w:color="auto"/>
            </w:tcBorders>
          </w:tcPr>
          <w:p w14:paraId="0E16B62F" w14:textId="72128FCC" w:rsidR="006D58E0" w:rsidRPr="009C5387" w:rsidRDefault="006D58E0" w:rsidP="006D58E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p</w:t>
            </w:r>
          </w:p>
        </w:tc>
      </w:tr>
      <w:tr w:rsidR="00073108" w:rsidRPr="009C5387" w14:paraId="23CE2C57" w14:textId="77777777" w:rsidTr="00073108">
        <w:trPr>
          <w:trHeight w:val="283"/>
        </w:trPr>
        <w:tc>
          <w:tcPr>
            <w:tcW w:w="2107" w:type="dxa"/>
            <w:tcBorders>
              <w:top w:val="single" w:sz="4" w:space="0" w:color="auto"/>
            </w:tcBorders>
          </w:tcPr>
          <w:p w14:paraId="275AF6C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Intercept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center"/>
          </w:tcPr>
          <w:p w14:paraId="67BB16AC" w14:textId="210BC96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2.745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0.094</w:t>
            </w: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0F61BC86" w14:textId="51535B5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29.346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38A13B5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5322D4FA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7A516CEF" w14:textId="0E1468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2.651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0.068</w:t>
            </w:r>
          </w:p>
        </w:tc>
        <w:tc>
          <w:tcPr>
            <w:tcW w:w="907" w:type="dxa"/>
            <w:tcBorders>
              <w:top w:val="single" w:sz="4" w:space="0" w:color="auto"/>
            </w:tcBorders>
            <w:vAlign w:val="center"/>
          </w:tcPr>
          <w:p w14:paraId="20CCFF2B" w14:textId="5CBE7F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38.984</w:t>
            </w: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7365CF4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89146ED" w14:textId="77777777" w:rsidTr="00073108">
        <w:trPr>
          <w:trHeight w:val="283"/>
        </w:trPr>
        <w:tc>
          <w:tcPr>
            <w:tcW w:w="2107" w:type="dxa"/>
          </w:tcPr>
          <w:p w14:paraId="3787D328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</w:t>
            </w:r>
          </w:p>
        </w:tc>
        <w:tc>
          <w:tcPr>
            <w:tcW w:w="1586" w:type="dxa"/>
            <w:vAlign w:val="center"/>
          </w:tcPr>
          <w:p w14:paraId="70BC7F4B" w14:textId="53090A14" w:rsidR="006D58E0" w:rsidRPr="009C5387" w:rsidDel="00F33B2F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-0.518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0.090</w:t>
            </w:r>
          </w:p>
        </w:tc>
        <w:tc>
          <w:tcPr>
            <w:tcW w:w="905" w:type="dxa"/>
            <w:vAlign w:val="center"/>
          </w:tcPr>
          <w:p w14:paraId="0A6C5151" w14:textId="05E3BB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-5.782</w:t>
            </w:r>
          </w:p>
        </w:tc>
        <w:tc>
          <w:tcPr>
            <w:tcW w:w="849" w:type="dxa"/>
            <w:vAlign w:val="center"/>
          </w:tcPr>
          <w:p w14:paraId="787847A5" w14:textId="3607851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9618020" w14:textId="77777777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6C7D16C7" w14:textId="4372DF9F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-0.741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0.065</w:t>
            </w:r>
          </w:p>
        </w:tc>
        <w:tc>
          <w:tcPr>
            <w:tcW w:w="907" w:type="dxa"/>
            <w:vAlign w:val="center"/>
          </w:tcPr>
          <w:p w14:paraId="15DFB141" w14:textId="13345555" w:rsidR="006D58E0" w:rsidRPr="009C5387" w:rsidDel="00EC462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-11.422</w:t>
            </w:r>
          </w:p>
        </w:tc>
        <w:tc>
          <w:tcPr>
            <w:tcW w:w="852" w:type="dxa"/>
            <w:vAlign w:val="center"/>
          </w:tcPr>
          <w:p w14:paraId="419FBFE3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ABD1C38" w14:textId="77777777" w:rsidTr="00073108">
        <w:trPr>
          <w:trHeight w:val="283"/>
        </w:trPr>
        <w:tc>
          <w:tcPr>
            <w:tcW w:w="2107" w:type="dxa"/>
          </w:tcPr>
          <w:p w14:paraId="685AB54E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Elaiosome</w:t>
            </w:r>
          </w:p>
        </w:tc>
        <w:tc>
          <w:tcPr>
            <w:tcW w:w="1586" w:type="dxa"/>
            <w:vAlign w:val="center"/>
          </w:tcPr>
          <w:p w14:paraId="7AEA6EEA" w14:textId="30336BC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-0.966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0.084</w:t>
            </w:r>
          </w:p>
        </w:tc>
        <w:tc>
          <w:tcPr>
            <w:tcW w:w="905" w:type="dxa"/>
            <w:vAlign w:val="center"/>
          </w:tcPr>
          <w:p w14:paraId="0EADF156" w14:textId="0C8C90A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-11.514</w:t>
            </w:r>
          </w:p>
        </w:tc>
        <w:tc>
          <w:tcPr>
            <w:tcW w:w="849" w:type="dxa"/>
            <w:vAlign w:val="center"/>
          </w:tcPr>
          <w:p w14:paraId="42101A2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EC72C1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39F27E57" w14:textId="119E878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-0.649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0.060</w:t>
            </w:r>
          </w:p>
        </w:tc>
        <w:tc>
          <w:tcPr>
            <w:tcW w:w="907" w:type="dxa"/>
            <w:vAlign w:val="center"/>
          </w:tcPr>
          <w:p w14:paraId="26E59451" w14:textId="669AFA8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-10.778</w:t>
            </w:r>
          </w:p>
        </w:tc>
        <w:tc>
          <w:tcPr>
            <w:tcW w:w="852" w:type="dxa"/>
            <w:vAlign w:val="center"/>
          </w:tcPr>
          <w:p w14:paraId="5077B08E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40DA935C" w14:textId="77777777" w:rsidTr="00073108">
        <w:trPr>
          <w:trHeight w:val="283"/>
        </w:trPr>
        <w:tc>
          <w:tcPr>
            <w:tcW w:w="2107" w:type="dxa"/>
          </w:tcPr>
          <w:p w14:paraId="63F041A5" w14:textId="7777777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Warming:Elaiosome</w:t>
            </w:r>
          </w:p>
        </w:tc>
        <w:tc>
          <w:tcPr>
            <w:tcW w:w="1586" w:type="dxa"/>
            <w:vAlign w:val="center"/>
          </w:tcPr>
          <w:p w14:paraId="131344B7" w14:textId="34E0FF5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-0.172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0.118</w:t>
            </w:r>
          </w:p>
        </w:tc>
        <w:tc>
          <w:tcPr>
            <w:tcW w:w="905" w:type="dxa"/>
            <w:vAlign w:val="center"/>
          </w:tcPr>
          <w:p w14:paraId="653FD7ED" w14:textId="0796652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-1.461</w:t>
            </w:r>
          </w:p>
        </w:tc>
        <w:tc>
          <w:tcPr>
            <w:tcW w:w="849" w:type="dxa"/>
            <w:vAlign w:val="center"/>
          </w:tcPr>
          <w:p w14:paraId="5D4B88D2" w14:textId="1972C4D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0.140</w:t>
            </w:r>
          </w:p>
        </w:tc>
        <w:tc>
          <w:tcPr>
            <w:tcW w:w="563" w:type="dxa"/>
          </w:tcPr>
          <w:p w14:paraId="35CCC57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  <w:vAlign w:val="center"/>
          </w:tcPr>
          <w:p w14:paraId="0BBF6223" w14:textId="4B73459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0.858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0.086</w:t>
            </w:r>
          </w:p>
        </w:tc>
        <w:tc>
          <w:tcPr>
            <w:tcW w:w="907" w:type="dxa"/>
            <w:vAlign w:val="center"/>
          </w:tcPr>
          <w:p w14:paraId="48248346" w14:textId="628B28C6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10.022</w:t>
            </w:r>
          </w:p>
        </w:tc>
        <w:tc>
          <w:tcPr>
            <w:tcW w:w="852" w:type="dxa"/>
            <w:vAlign w:val="center"/>
          </w:tcPr>
          <w:p w14:paraId="3BCCF4D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F7DFC8D" w14:textId="77777777" w:rsidTr="00073108">
        <w:trPr>
          <w:trHeight w:val="283"/>
        </w:trPr>
        <w:tc>
          <w:tcPr>
            <w:tcW w:w="2107" w:type="dxa"/>
          </w:tcPr>
          <w:p w14:paraId="1C53F86E" w14:textId="530001C7" w:rsidR="006D58E0" w:rsidRPr="009C5387" w:rsidRDefault="006D58E0" w:rsidP="006D58E0">
            <w:pPr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  <w:tc>
          <w:tcPr>
            <w:tcW w:w="1586" w:type="dxa"/>
          </w:tcPr>
          <w:p w14:paraId="5C6E5CCA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5" w:type="dxa"/>
          </w:tcPr>
          <w:p w14:paraId="10EAA081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49" w:type="dxa"/>
          </w:tcPr>
          <w:p w14:paraId="141C36A7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</w:tcPr>
          <w:p w14:paraId="19696A9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C2A754C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07" w:type="dxa"/>
          </w:tcPr>
          <w:p w14:paraId="03E2D40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2" w:type="dxa"/>
          </w:tcPr>
          <w:p w14:paraId="2FECEE4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3108" w:rsidRPr="009C5387" w14:paraId="6B24A388" w14:textId="77777777" w:rsidTr="00073108">
        <w:trPr>
          <w:trHeight w:val="283"/>
        </w:trPr>
        <w:tc>
          <w:tcPr>
            <w:tcW w:w="2107" w:type="dxa"/>
          </w:tcPr>
          <w:p w14:paraId="7B108BBD" w14:textId="77A275B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86" w:type="dxa"/>
          </w:tcPr>
          <w:p w14:paraId="44CDC580" w14:textId="40415FF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0.080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251E9273" w14:textId="2FB481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0.654</w:t>
            </w:r>
          </w:p>
        </w:tc>
        <w:tc>
          <w:tcPr>
            <w:tcW w:w="849" w:type="dxa"/>
            <w:vAlign w:val="center"/>
          </w:tcPr>
          <w:p w14:paraId="20E4FC2D" w14:textId="24E4C99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0.513</w:t>
            </w:r>
          </w:p>
        </w:tc>
        <w:tc>
          <w:tcPr>
            <w:tcW w:w="563" w:type="dxa"/>
          </w:tcPr>
          <w:p w14:paraId="0BAB1F3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EDA5FA5" w14:textId="44226D9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0.106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0.088</w:t>
            </w:r>
          </w:p>
        </w:tc>
        <w:tc>
          <w:tcPr>
            <w:tcW w:w="907" w:type="dxa"/>
          </w:tcPr>
          <w:p w14:paraId="5A9419C7" w14:textId="2043724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1.196</w:t>
            </w:r>
          </w:p>
        </w:tc>
        <w:tc>
          <w:tcPr>
            <w:tcW w:w="852" w:type="dxa"/>
            <w:vAlign w:val="center"/>
          </w:tcPr>
          <w:p w14:paraId="7EADC327" w14:textId="5EBB91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0.232</w:t>
            </w:r>
          </w:p>
        </w:tc>
      </w:tr>
      <w:tr w:rsidR="00073108" w:rsidRPr="009C5387" w14:paraId="5ACACD95" w14:textId="77777777" w:rsidTr="00073108">
        <w:trPr>
          <w:trHeight w:val="283"/>
        </w:trPr>
        <w:tc>
          <w:tcPr>
            <w:tcW w:w="2107" w:type="dxa"/>
          </w:tcPr>
          <w:p w14:paraId="0944B8B1" w14:textId="49300CB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86" w:type="dxa"/>
          </w:tcPr>
          <w:p w14:paraId="2C6E2662" w14:textId="638B921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0.651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18C34D67" w14:textId="7465A33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5.057</w:t>
            </w:r>
          </w:p>
        </w:tc>
        <w:tc>
          <w:tcPr>
            <w:tcW w:w="849" w:type="dxa"/>
            <w:vAlign w:val="center"/>
          </w:tcPr>
          <w:p w14:paraId="177D2D0E" w14:textId="2BF21F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38363440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127F3DA4" w14:textId="0B97BF5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0.796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66C6D82" w14:textId="3B15F40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8.606</w:t>
            </w:r>
          </w:p>
        </w:tc>
        <w:tc>
          <w:tcPr>
            <w:tcW w:w="852" w:type="dxa"/>
            <w:vAlign w:val="center"/>
          </w:tcPr>
          <w:p w14:paraId="78B1DF27" w14:textId="3E1C489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2311A8" w14:textId="77777777" w:rsidTr="00073108">
        <w:trPr>
          <w:trHeight w:val="283"/>
        </w:trPr>
        <w:tc>
          <w:tcPr>
            <w:tcW w:w="2107" w:type="dxa"/>
          </w:tcPr>
          <w:p w14:paraId="6322C862" w14:textId="53649C40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86" w:type="dxa"/>
          </w:tcPr>
          <w:p w14:paraId="486E4526" w14:textId="075F950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0.126</w:t>
            </w:r>
          </w:p>
        </w:tc>
        <w:tc>
          <w:tcPr>
            <w:tcW w:w="905" w:type="dxa"/>
          </w:tcPr>
          <w:p w14:paraId="495F8BB6" w14:textId="61D5D6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8.259</w:t>
            </w:r>
          </w:p>
        </w:tc>
        <w:tc>
          <w:tcPr>
            <w:tcW w:w="849" w:type="dxa"/>
            <w:vAlign w:val="center"/>
          </w:tcPr>
          <w:p w14:paraId="717F94D7" w14:textId="2A66BEC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67DE022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60C6512" w14:textId="27D75A63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1.054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048E52E3" w14:textId="543F9B6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11.321</w:t>
            </w:r>
          </w:p>
        </w:tc>
        <w:tc>
          <w:tcPr>
            <w:tcW w:w="852" w:type="dxa"/>
            <w:vAlign w:val="center"/>
          </w:tcPr>
          <w:p w14:paraId="630E7ECB" w14:textId="178E6EE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3E1422B4" w14:textId="77777777" w:rsidTr="00073108">
        <w:trPr>
          <w:trHeight w:val="283"/>
        </w:trPr>
        <w:tc>
          <w:tcPr>
            <w:tcW w:w="2107" w:type="dxa"/>
          </w:tcPr>
          <w:p w14:paraId="79466C38" w14:textId="55CB1FEF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586" w:type="dxa"/>
          </w:tcPr>
          <w:p w14:paraId="1DB2A738" w14:textId="1C5C93C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69C5CC8F" w14:textId="0533AED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11.709</w:t>
            </w:r>
          </w:p>
        </w:tc>
        <w:tc>
          <w:tcPr>
            <w:tcW w:w="849" w:type="dxa"/>
            <w:vAlign w:val="center"/>
          </w:tcPr>
          <w:p w14:paraId="64457326" w14:textId="0C2F84B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75F538B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F14D40F" w14:textId="2EA617F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0.805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0.101</w:t>
            </w:r>
          </w:p>
        </w:tc>
        <w:tc>
          <w:tcPr>
            <w:tcW w:w="907" w:type="dxa"/>
          </w:tcPr>
          <w:p w14:paraId="5D18381C" w14:textId="273925E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7.991</w:t>
            </w:r>
          </w:p>
        </w:tc>
        <w:tc>
          <w:tcPr>
            <w:tcW w:w="852" w:type="dxa"/>
            <w:vAlign w:val="center"/>
          </w:tcPr>
          <w:p w14:paraId="052D8356" w14:textId="298145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229A463F" w14:textId="77777777" w:rsidTr="00073108">
        <w:trPr>
          <w:trHeight w:val="283"/>
        </w:trPr>
        <w:tc>
          <w:tcPr>
            <w:tcW w:w="2107" w:type="dxa"/>
          </w:tcPr>
          <w:p w14:paraId="1E1BCDD7" w14:textId="6C95081C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586" w:type="dxa"/>
          </w:tcPr>
          <w:p w14:paraId="2BB46EC6" w14:textId="36A3503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0.586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0.130</w:t>
            </w:r>
          </w:p>
        </w:tc>
        <w:tc>
          <w:tcPr>
            <w:tcW w:w="905" w:type="dxa"/>
          </w:tcPr>
          <w:p w14:paraId="440A6836" w14:textId="791A105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4.524</w:t>
            </w:r>
          </w:p>
        </w:tc>
        <w:tc>
          <w:tcPr>
            <w:tcW w:w="849" w:type="dxa"/>
            <w:vAlign w:val="center"/>
          </w:tcPr>
          <w:p w14:paraId="5E4CC7FE" w14:textId="773D6DE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2A13616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3DA4C987" w14:textId="3C6D480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1.038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75D40A38" w14:textId="06C0AF7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11.329</w:t>
            </w:r>
          </w:p>
        </w:tc>
        <w:tc>
          <w:tcPr>
            <w:tcW w:w="852" w:type="dxa"/>
            <w:vAlign w:val="center"/>
          </w:tcPr>
          <w:p w14:paraId="6298FFCD" w14:textId="764379C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5B2482CD" w14:textId="77777777" w:rsidTr="00073108">
        <w:trPr>
          <w:trHeight w:val="283"/>
        </w:trPr>
        <w:tc>
          <w:tcPr>
            <w:tcW w:w="2107" w:type="dxa"/>
          </w:tcPr>
          <w:p w14:paraId="61921FEC" w14:textId="2C6516C7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586" w:type="dxa"/>
          </w:tcPr>
          <w:p w14:paraId="3DDF96D0" w14:textId="2CC3E67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1.100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0.128</w:t>
            </w:r>
          </w:p>
        </w:tc>
        <w:tc>
          <w:tcPr>
            <w:tcW w:w="905" w:type="dxa"/>
          </w:tcPr>
          <w:p w14:paraId="45A97E4E" w14:textId="57CDE459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8.588</w:t>
            </w:r>
          </w:p>
        </w:tc>
        <w:tc>
          <w:tcPr>
            <w:tcW w:w="849" w:type="dxa"/>
            <w:vAlign w:val="center"/>
          </w:tcPr>
          <w:p w14:paraId="125F60E3" w14:textId="12E4DB6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7014A32D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62C4F6D2" w14:textId="0BF2EE0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0.907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0.093</w:t>
            </w:r>
          </w:p>
        </w:tc>
        <w:tc>
          <w:tcPr>
            <w:tcW w:w="907" w:type="dxa"/>
          </w:tcPr>
          <w:p w14:paraId="393DD1B2" w14:textId="50C11AF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9.746</w:t>
            </w:r>
          </w:p>
        </w:tc>
        <w:tc>
          <w:tcPr>
            <w:tcW w:w="852" w:type="dxa"/>
            <w:vAlign w:val="center"/>
          </w:tcPr>
          <w:p w14:paraId="13A279BA" w14:textId="0D93DD0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3CC8842" w14:textId="77777777" w:rsidTr="00073108">
        <w:trPr>
          <w:trHeight w:val="283"/>
        </w:trPr>
        <w:tc>
          <w:tcPr>
            <w:tcW w:w="2107" w:type="dxa"/>
          </w:tcPr>
          <w:p w14:paraId="36935670" w14:textId="3D27ACD4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86" w:type="dxa"/>
          </w:tcPr>
          <w:p w14:paraId="4D67E88B" w14:textId="24941214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1.475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0.129</w:t>
            </w:r>
          </w:p>
        </w:tc>
        <w:tc>
          <w:tcPr>
            <w:tcW w:w="905" w:type="dxa"/>
          </w:tcPr>
          <w:p w14:paraId="2650FEE1" w14:textId="10BE13F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11.431</w:t>
            </w:r>
          </w:p>
        </w:tc>
        <w:tc>
          <w:tcPr>
            <w:tcW w:w="849" w:type="dxa"/>
            <w:vAlign w:val="center"/>
          </w:tcPr>
          <w:p w14:paraId="0C4EC42D" w14:textId="4F6E7BE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44C89BEF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F12F265" w14:textId="7052D78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0.910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0.095</w:t>
            </w:r>
          </w:p>
        </w:tc>
        <w:tc>
          <w:tcPr>
            <w:tcW w:w="907" w:type="dxa"/>
          </w:tcPr>
          <w:p w14:paraId="74E9ECF9" w14:textId="1B35402B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9.591</w:t>
            </w:r>
          </w:p>
        </w:tc>
        <w:tc>
          <w:tcPr>
            <w:tcW w:w="852" w:type="dxa"/>
            <w:vAlign w:val="center"/>
          </w:tcPr>
          <w:p w14:paraId="4D34F5F5" w14:textId="460D79F8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0FBC53F8" w14:textId="77777777" w:rsidTr="00073108">
        <w:trPr>
          <w:trHeight w:val="283"/>
        </w:trPr>
        <w:tc>
          <w:tcPr>
            <w:tcW w:w="2107" w:type="dxa"/>
          </w:tcPr>
          <w:p w14:paraId="4FFB8E4B" w14:textId="361E275E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86" w:type="dxa"/>
          </w:tcPr>
          <w:p w14:paraId="008EA3A6" w14:textId="3D2855B1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1.194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0.127</w:t>
            </w:r>
          </w:p>
        </w:tc>
        <w:tc>
          <w:tcPr>
            <w:tcW w:w="905" w:type="dxa"/>
          </w:tcPr>
          <w:p w14:paraId="7B28C6F5" w14:textId="6711625E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9.373</w:t>
            </w:r>
          </w:p>
        </w:tc>
        <w:tc>
          <w:tcPr>
            <w:tcW w:w="849" w:type="dxa"/>
            <w:vAlign w:val="center"/>
          </w:tcPr>
          <w:p w14:paraId="666592EC" w14:textId="64C7E335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61C25F18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78C7031E" w14:textId="3921AA3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1.543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0.098</w:t>
            </w:r>
          </w:p>
        </w:tc>
        <w:tc>
          <w:tcPr>
            <w:tcW w:w="907" w:type="dxa"/>
          </w:tcPr>
          <w:p w14:paraId="05CF8938" w14:textId="64EB6672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15.734</w:t>
            </w:r>
          </w:p>
        </w:tc>
        <w:tc>
          <w:tcPr>
            <w:tcW w:w="852" w:type="dxa"/>
            <w:vAlign w:val="center"/>
          </w:tcPr>
          <w:p w14:paraId="05CFCB71" w14:textId="72658D6F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  <w:tr w:rsidR="00073108" w:rsidRPr="009C5387" w14:paraId="1E01E329" w14:textId="77777777" w:rsidTr="00073108">
        <w:trPr>
          <w:trHeight w:val="283"/>
        </w:trPr>
        <w:tc>
          <w:tcPr>
            <w:tcW w:w="2107" w:type="dxa"/>
          </w:tcPr>
          <w:p w14:paraId="41AA696A" w14:textId="6D7C9478" w:rsidR="006D58E0" w:rsidRPr="009C5387" w:rsidRDefault="006D58E0" w:rsidP="00073108">
            <w:pPr>
              <w:ind w:firstLine="170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86" w:type="dxa"/>
          </w:tcPr>
          <w:p w14:paraId="419AEBFD" w14:textId="664D62ED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0.781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0.123</w:t>
            </w:r>
          </w:p>
        </w:tc>
        <w:tc>
          <w:tcPr>
            <w:tcW w:w="905" w:type="dxa"/>
          </w:tcPr>
          <w:p w14:paraId="6F5C12A3" w14:textId="7134ED7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6.378</w:t>
            </w:r>
          </w:p>
        </w:tc>
        <w:tc>
          <w:tcPr>
            <w:tcW w:w="849" w:type="dxa"/>
            <w:vAlign w:val="center"/>
          </w:tcPr>
          <w:p w14:paraId="3A43ED3A" w14:textId="054A19F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  <w:tc>
          <w:tcPr>
            <w:tcW w:w="563" w:type="dxa"/>
          </w:tcPr>
          <w:p w14:paraId="5AF0A734" w14:textId="77777777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87" w:type="dxa"/>
          </w:tcPr>
          <w:p w14:paraId="5D4B6DA0" w14:textId="02320E40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 xml:space="preserve">1.025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±</m:t>
              </m:r>
            </m:oMath>
            <w:r w:rsidRPr="009C5387">
              <w:rPr>
                <w:rFonts w:ascii="Times New Roman" w:eastAsiaTheme="minorEastAsia" w:hAnsi="Times New Roman" w:cs="Times New Roman"/>
                <w:lang w:val="en-US"/>
              </w:rPr>
              <w:t xml:space="preserve"> 0.092</w:t>
            </w:r>
          </w:p>
        </w:tc>
        <w:tc>
          <w:tcPr>
            <w:tcW w:w="907" w:type="dxa"/>
          </w:tcPr>
          <w:p w14:paraId="31B97701" w14:textId="70BA60BC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11.168</w:t>
            </w:r>
          </w:p>
        </w:tc>
        <w:tc>
          <w:tcPr>
            <w:tcW w:w="852" w:type="dxa"/>
            <w:vAlign w:val="center"/>
          </w:tcPr>
          <w:p w14:paraId="33174013" w14:textId="46C9BC8A" w:rsidR="006D58E0" w:rsidRPr="009C5387" w:rsidRDefault="006D58E0" w:rsidP="006D58E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9C5387">
              <w:rPr>
                <w:rFonts w:ascii="Times New Roman" w:hAnsi="Times New Roman" w:cs="Times New Roman"/>
                <w:lang w:val="en-US"/>
              </w:rPr>
              <w:t>&lt;0.001</w:t>
            </w:r>
          </w:p>
        </w:tc>
      </w:tr>
    </w:tbl>
    <w:p w14:paraId="3909ACE4" w14:textId="66FA4BAD" w:rsidR="00B2677A" w:rsidRPr="009C5387" w:rsidRDefault="00B267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B2677A" w:rsidRPr="009C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A"/>
    <w:rsid w:val="00073108"/>
    <w:rsid w:val="000849BC"/>
    <w:rsid w:val="000A57BA"/>
    <w:rsid w:val="000B4680"/>
    <w:rsid w:val="000F3302"/>
    <w:rsid w:val="001211FE"/>
    <w:rsid w:val="00160A08"/>
    <w:rsid w:val="001B1B43"/>
    <w:rsid w:val="001C7962"/>
    <w:rsid w:val="001F17A5"/>
    <w:rsid w:val="001F392C"/>
    <w:rsid w:val="001F54B0"/>
    <w:rsid w:val="0020480D"/>
    <w:rsid w:val="00280C12"/>
    <w:rsid w:val="002C5ACD"/>
    <w:rsid w:val="00395034"/>
    <w:rsid w:val="004153E2"/>
    <w:rsid w:val="00445DE0"/>
    <w:rsid w:val="004717B3"/>
    <w:rsid w:val="004C4B28"/>
    <w:rsid w:val="004E058E"/>
    <w:rsid w:val="005531A5"/>
    <w:rsid w:val="006749B6"/>
    <w:rsid w:val="006D58E0"/>
    <w:rsid w:val="0070640E"/>
    <w:rsid w:val="007740EB"/>
    <w:rsid w:val="007C313F"/>
    <w:rsid w:val="007D4480"/>
    <w:rsid w:val="00844308"/>
    <w:rsid w:val="00896F7D"/>
    <w:rsid w:val="008B621A"/>
    <w:rsid w:val="008E0941"/>
    <w:rsid w:val="008E5A45"/>
    <w:rsid w:val="0099715B"/>
    <w:rsid w:val="009B0CF5"/>
    <w:rsid w:val="009C5387"/>
    <w:rsid w:val="00A17E7C"/>
    <w:rsid w:val="00A273D7"/>
    <w:rsid w:val="00A63583"/>
    <w:rsid w:val="00AA77F1"/>
    <w:rsid w:val="00AD5DE8"/>
    <w:rsid w:val="00AF0156"/>
    <w:rsid w:val="00B2677A"/>
    <w:rsid w:val="00B40B30"/>
    <w:rsid w:val="00B847D6"/>
    <w:rsid w:val="00BB0F29"/>
    <w:rsid w:val="00C75B28"/>
    <w:rsid w:val="00CC105E"/>
    <w:rsid w:val="00CE0A62"/>
    <w:rsid w:val="00CF0B41"/>
    <w:rsid w:val="00CF5D64"/>
    <w:rsid w:val="00D01BFA"/>
    <w:rsid w:val="00D0542E"/>
    <w:rsid w:val="00D13280"/>
    <w:rsid w:val="00D303CD"/>
    <w:rsid w:val="00D713F8"/>
    <w:rsid w:val="00D845CD"/>
    <w:rsid w:val="00DC7E6A"/>
    <w:rsid w:val="00E511A9"/>
    <w:rsid w:val="00E57D58"/>
    <w:rsid w:val="00E629BA"/>
    <w:rsid w:val="00ED1393"/>
    <w:rsid w:val="00EE07E9"/>
    <w:rsid w:val="00EE2A29"/>
    <w:rsid w:val="00EF220D"/>
    <w:rsid w:val="00EF2A70"/>
    <w:rsid w:val="00F068D0"/>
    <w:rsid w:val="00FB64B6"/>
    <w:rsid w:val="00FD012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06346"/>
  <w15:docId w15:val="{D33A529B-1E5F-47A6-8C8C-4730FF2D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77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0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0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B3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30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CC105E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DC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Trevor Drees</cp:lastModifiedBy>
  <cp:revision>21</cp:revision>
  <dcterms:created xsi:type="dcterms:W3CDTF">2023-05-16T05:13:00Z</dcterms:created>
  <dcterms:modified xsi:type="dcterms:W3CDTF">2023-11-04T05:04:00Z</dcterms:modified>
</cp:coreProperties>
</file>