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Database Project Team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webserver and database server run in EasyPHP, which is a Windows AMP (Apache, MySQL, PHP) stack. To run EasyPHP, open the folder “EasyPHP-Devserver-16.1” and execute “run-easyphp-devserver.exe”. This will run EasyPHP in the background. Right click the EasyPHP icon in the system tray and click “Open Dashboard”. This will open the EasyPHP dashboard in your web browser.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start the server, click “Start” under “HTTP Server”. Choose “Apache 2.4.18 x86”. Then click “Start”. The server URL can be copied from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enable Python, click the “Python” tab in the “Dashboard” menu on the left. If Python 2.7.11 x86 is not already active, activate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start the database server, click the “DB Server” tab in the “Dashboard” menu on the left and choose “MySQL 5.7.11 x86”. Click “Start”. This may not work if the local machine is already hosting another MySQL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enter the website, paste the server address into your browser’s address bar.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admin account has username “a” and password “a”. The admin creates GC members and GTA nominator accounts (). Usernames and passwords are emailed (). The admin also creates nominations sessions and sets deadlines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GTA nominators nominate GTA nominees () and nominees get sent a unique URL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GTA nominees input their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GC members view a table from the current session showing nominee information ().</w:t>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