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5119" w14:textId="498AF782" w:rsidR="0047034A" w:rsidRDefault="0014691A" w:rsidP="00EC393B">
      <w:pPr>
        <w:spacing w:after="0" w:line="240" w:lineRule="auto"/>
      </w:pPr>
      <w:r>
        <w:t>Haddon Sandefur</w:t>
      </w:r>
    </w:p>
    <w:p w14:paraId="0D736CAD" w14:textId="43A2E877" w:rsidR="0014691A" w:rsidRDefault="0014691A" w:rsidP="00EC393B">
      <w:pPr>
        <w:spacing w:after="0" w:line="240" w:lineRule="auto"/>
      </w:pPr>
      <w:r>
        <w:t>Scott Sun</w:t>
      </w:r>
    </w:p>
    <w:p w14:paraId="79F7EF60" w14:textId="27711913" w:rsidR="0014691A" w:rsidRDefault="0014691A" w:rsidP="00EC393B">
      <w:pPr>
        <w:spacing w:after="0" w:line="240" w:lineRule="auto"/>
      </w:pPr>
      <w:r>
        <w:t>Trevor Johnson</w:t>
      </w:r>
    </w:p>
    <w:p w14:paraId="685D2767" w14:textId="77777777" w:rsidR="00916355" w:rsidRDefault="00916355" w:rsidP="0014691A">
      <w:pPr>
        <w:spacing w:line="240" w:lineRule="auto"/>
      </w:pPr>
    </w:p>
    <w:p w14:paraId="151C7781" w14:textId="77777777" w:rsidR="00F517D1" w:rsidRPr="00F517D1" w:rsidRDefault="00916355" w:rsidP="00916355">
      <w:pPr>
        <w:spacing w:line="240" w:lineRule="auto"/>
        <w:jc w:val="center"/>
        <w:rPr>
          <w:sz w:val="32"/>
          <w:szCs w:val="32"/>
        </w:rPr>
      </w:pPr>
      <w:r w:rsidRPr="00F517D1">
        <w:rPr>
          <w:sz w:val="32"/>
          <w:szCs w:val="32"/>
        </w:rPr>
        <w:t>Statistical Learning Group Proposal</w:t>
      </w:r>
    </w:p>
    <w:p w14:paraId="7A3B35F4" w14:textId="5711AB33" w:rsidR="00916355" w:rsidRDefault="00916355" w:rsidP="00916355">
      <w:pPr>
        <w:spacing w:line="240" w:lineRule="auto"/>
        <w:jc w:val="center"/>
      </w:pPr>
      <w:r w:rsidRPr="00EC393B">
        <w:t xml:space="preserve"> </w:t>
      </w:r>
      <w:r w:rsidR="00A273CB">
        <w:t>Predicting</w:t>
      </w:r>
      <w:r w:rsidR="00F517D1" w:rsidRPr="00EC393B">
        <w:t xml:space="preserve"> Breast Cancer </w:t>
      </w:r>
      <w:r w:rsidR="00EC393B" w:rsidRPr="00EC393B">
        <w:t>Mortality on Greenness and Polluting Site Exposures</w:t>
      </w:r>
    </w:p>
    <w:p w14:paraId="7F8A0D37" w14:textId="77777777" w:rsidR="00FA053A" w:rsidRDefault="00FA053A" w:rsidP="00A83A7C">
      <w:pPr>
        <w:spacing w:line="240" w:lineRule="auto"/>
      </w:pPr>
    </w:p>
    <w:p w14:paraId="524EAB50" w14:textId="07BE1E39" w:rsidR="00C229D5" w:rsidRPr="00C229D5" w:rsidRDefault="00C229D5" w:rsidP="00C229D5">
      <w:pPr>
        <w:pStyle w:val="Heading1"/>
      </w:pPr>
      <w:r w:rsidRPr="00C229D5">
        <w:t>Introduction:</w:t>
      </w:r>
    </w:p>
    <w:p w14:paraId="6674AF72" w14:textId="50118943" w:rsidR="00C229D5" w:rsidRDefault="006E3C45" w:rsidP="00976A49">
      <w:pPr>
        <w:spacing w:after="0" w:line="240" w:lineRule="auto"/>
        <w:ind w:firstLine="720"/>
      </w:pPr>
      <w:r>
        <w:t xml:space="preserve">The philosophy </w:t>
      </w:r>
      <w:r w:rsidR="001054B5">
        <w:t xml:space="preserve">surrounding </w:t>
      </w:r>
      <w:r w:rsidR="000D3345">
        <w:t xml:space="preserve">cancer treatment </w:t>
      </w:r>
      <w:r>
        <w:t>has evolved to emphasize preventative measures</w:t>
      </w:r>
      <w:r w:rsidR="000C36F8">
        <w:t>.</w:t>
      </w:r>
      <w:r w:rsidR="000D3345">
        <w:t xml:space="preserve"> Multiple</w:t>
      </w:r>
      <w:r w:rsidR="000F399E">
        <w:t xml:space="preserve"> preventative</w:t>
      </w:r>
      <w:r w:rsidR="000D3345">
        <w:t xml:space="preserve"> factors contributing to the genesis of cancers are common knowledge, such as smoking or asbestos exposure. </w:t>
      </w:r>
      <w:r w:rsidR="002D4F3F">
        <w:t xml:space="preserve">Given that </w:t>
      </w:r>
      <w:r w:rsidR="00406AA2">
        <w:t xml:space="preserve">exposure to </w:t>
      </w:r>
      <w:r w:rsidR="002D4F3F">
        <w:t xml:space="preserve">these factors </w:t>
      </w:r>
      <w:r w:rsidR="00406AA2">
        <w:t>is</w:t>
      </w:r>
      <w:r w:rsidR="002D4F3F">
        <w:t xml:space="preserve"> often avoidable</w:t>
      </w:r>
      <w:r w:rsidR="000C36F8">
        <w:t xml:space="preserve">, </w:t>
      </w:r>
      <w:r w:rsidR="008A2180">
        <w:t>research pertaining to the discovery of</w:t>
      </w:r>
      <w:r w:rsidR="000C36F8">
        <w:t xml:space="preserve"> </w:t>
      </w:r>
      <w:r w:rsidR="00406AA2">
        <w:t>more su</w:t>
      </w:r>
      <w:r w:rsidR="001D3C6E">
        <w:t>ch factors has been important</w:t>
      </w:r>
      <w:r w:rsidR="00FF761E">
        <w:t xml:space="preserve">. Currently, there’s </w:t>
      </w:r>
      <w:r w:rsidR="00A97966">
        <w:t xml:space="preserve">limited </w:t>
      </w:r>
      <w:r w:rsidR="00FF761E">
        <w:t xml:space="preserve">research </w:t>
      </w:r>
      <w:r w:rsidR="00F91EBE">
        <w:t>pertaining to exposure to the amount of vegetation or ‘greenness’, and its association with cancer development and mortality</w:t>
      </w:r>
      <w:r w:rsidR="00E2035A">
        <w:t xml:space="preserve"> (</w:t>
      </w:r>
      <w:r w:rsidR="00202E35">
        <w:t>O’Callaghan-Gordo et. al, 2018)</w:t>
      </w:r>
      <w:r w:rsidR="00E90F1E">
        <w:t xml:space="preserve">. </w:t>
      </w:r>
      <w:r w:rsidR="0090718B">
        <w:t xml:space="preserve">Certain studies additionally </w:t>
      </w:r>
      <w:r w:rsidR="00411E9B">
        <w:t>demonstrate</w:t>
      </w:r>
      <w:r w:rsidR="0090718B">
        <w:t xml:space="preserve"> linkages between </w:t>
      </w:r>
      <w:r w:rsidR="00411E9B">
        <w:t xml:space="preserve">greenness and </w:t>
      </w:r>
      <w:r w:rsidR="0045129E">
        <w:t>mortality</w:t>
      </w:r>
      <w:r w:rsidR="00411E9B">
        <w:t>, particularly relating to cancer (James</w:t>
      </w:r>
      <w:r w:rsidR="0045129E">
        <w:t>, Hart et. al, 2016).</w:t>
      </w:r>
      <w:r w:rsidR="008C4D47">
        <w:t xml:space="preserve"> With this in mind, we</w:t>
      </w:r>
      <w:r w:rsidR="009F6B98">
        <w:t xml:space="preserve"> wish to </w:t>
      </w:r>
      <w:r w:rsidR="00044AEA">
        <w:t xml:space="preserve">use discovery techniques to </w:t>
      </w:r>
      <w:r w:rsidR="00B11123">
        <w:t>study</w:t>
      </w:r>
      <w:r w:rsidR="009F6B98">
        <w:t xml:space="preserve"> the association of greenness and breast cancer mortality. </w:t>
      </w:r>
      <w:r w:rsidR="001E29DF">
        <w:t>Breast Cancer is one of the most prevalent diseases in the United States, being the second most prevalent cancer in women nationally</w:t>
      </w:r>
      <w:r w:rsidR="006F7DD5">
        <w:t xml:space="preserve"> (NIH</w:t>
      </w:r>
      <w:r w:rsidR="008B0C8E">
        <w:t>, 2019)</w:t>
      </w:r>
      <w:r w:rsidR="001E29DF">
        <w:t>.</w:t>
      </w:r>
    </w:p>
    <w:p w14:paraId="7D435DC8" w14:textId="1DE40F5F" w:rsidR="00976A49" w:rsidRDefault="00976A49" w:rsidP="00976A49">
      <w:pPr>
        <w:spacing w:after="0" w:line="240" w:lineRule="auto"/>
        <w:ind w:firstLine="720"/>
      </w:pPr>
      <w:r>
        <w:t>We</w:t>
      </w:r>
      <w:r w:rsidR="004F24D5">
        <w:t xml:space="preserve"> will utilize </w:t>
      </w:r>
      <w:r w:rsidR="00242B59">
        <w:t xml:space="preserve">county </w:t>
      </w:r>
      <w:r w:rsidR="004F24D5">
        <w:t>breast cancer mortality data</w:t>
      </w:r>
      <w:r w:rsidR="00222ABB">
        <w:t xml:space="preserve"> from </w:t>
      </w:r>
      <w:proofErr w:type="spellStart"/>
      <w:r w:rsidR="00222ABB">
        <w:t>GH</w:t>
      </w:r>
      <w:r w:rsidR="00242B59">
        <w:t>D</w:t>
      </w:r>
      <w:r w:rsidR="00222ABB">
        <w:t>x’s</w:t>
      </w:r>
      <w:proofErr w:type="spellEnd"/>
      <w:r w:rsidR="00222ABB">
        <w:t xml:space="preserve"> </w:t>
      </w:r>
      <w:r w:rsidR="00242B59">
        <w:t>data base</w:t>
      </w:r>
      <w:r w:rsidR="009E4D65">
        <w:t xml:space="preserve"> for our analysis. </w:t>
      </w:r>
      <w:r w:rsidR="005C72A2">
        <w:t xml:space="preserve">This data will be paired with greenspace data and pollution site data collected </w:t>
      </w:r>
      <w:r w:rsidR="00E57020">
        <w:t>from</w:t>
      </w:r>
      <w:r w:rsidR="005C305D">
        <w:t xml:space="preserve"> the University of Michigan’s National Neighborhood Data Archives</w:t>
      </w:r>
      <w:r w:rsidR="00AA3EDF">
        <w:t xml:space="preserve"> (</w:t>
      </w:r>
      <w:proofErr w:type="spellStart"/>
      <w:r w:rsidR="00AA3EDF">
        <w:t>NaNDA</w:t>
      </w:r>
      <w:proofErr w:type="spellEnd"/>
      <w:r w:rsidR="00AA3EDF">
        <w:t>)</w:t>
      </w:r>
      <w:r w:rsidR="005C305D">
        <w:t xml:space="preserve">. Consolidation will occur by county FIPS codes, as well as census tracts. </w:t>
      </w:r>
      <w:r w:rsidR="003D6216">
        <w:t xml:space="preserve">Our analysis will consist of </w:t>
      </w:r>
      <w:r w:rsidR="006045D6">
        <w:t xml:space="preserve">regression </w:t>
      </w:r>
      <w:r w:rsidR="003D6216">
        <w:t>techniques for</w:t>
      </w:r>
      <w:r w:rsidR="006045D6">
        <w:t xml:space="preserve"> prediction purposes</w:t>
      </w:r>
      <w:r w:rsidR="0061456B">
        <w:t>, utilizing breast cancer mortality counts (by county) as an outcome of interest</w:t>
      </w:r>
      <w:r w:rsidR="006D13BB">
        <w:t>.</w:t>
      </w:r>
      <w:r w:rsidR="000D0799">
        <w:t xml:space="preserve"> We intend to utilize greenspace data as our predictor variables.</w:t>
      </w:r>
      <w:r w:rsidR="006D13BB">
        <w:t xml:space="preserve"> Polluting sites will be included for the sak</w:t>
      </w:r>
      <w:r w:rsidR="007D2D6A">
        <w:t>e of being an environmental control. This analysis will be performed cross-sectionally for the year 201</w:t>
      </w:r>
      <w:r w:rsidR="00D207ED">
        <w:t>0</w:t>
      </w:r>
      <w:r w:rsidR="002A2119">
        <w:t>, and thus cannot account for shifts in vegetation density</w:t>
      </w:r>
      <w:r w:rsidR="00884F7C">
        <w:t xml:space="preserve"> over time.</w:t>
      </w:r>
      <w:r w:rsidR="009E3E24">
        <w:t xml:space="preserve"> </w:t>
      </w:r>
    </w:p>
    <w:p w14:paraId="2696A504" w14:textId="77777777" w:rsidR="00D207ED" w:rsidRDefault="00D207ED" w:rsidP="00D207ED">
      <w:pPr>
        <w:spacing w:after="0" w:line="240" w:lineRule="auto"/>
      </w:pPr>
    </w:p>
    <w:p w14:paraId="09A48B45" w14:textId="06DE8F47" w:rsidR="00D207ED" w:rsidRDefault="00512C43" w:rsidP="00512C43">
      <w:pPr>
        <w:pStyle w:val="Heading1"/>
      </w:pPr>
      <w:r>
        <w:t>Motivation from a Geographical Perspective:</w:t>
      </w:r>
    </w:p>
    <w:p w14:paraId="4CBF1966" w14:textId="77777777" w:rsidR="00512C43" w:rsidRDefault="00512C43" w:rsidP="00512C43"/>
    <w:p w14:paraId="6FD2D182" w14:textId="451B507C" w:rsidR="00E53E42" w:rsidRDefault="000A20E6" w:rsidP="00512C43">
      <w:r>
        <w:t xml:space="preserve">Using </w:t>
      </w:r>
      <w:r w:rsidR="008E1707">
        <w:t>the geographical information in our dataset, we can create cartographic plots to demonstrate similar densities amongst variables by county</w:t>
      </w:r>
      <w:r w:rsidR="00083758">
        <w:t xml:space="preserve">. </w:t>
      </w:r>
      <w:r w:rsidR="001D2A3F">
        <w:t xml:space="preserve">These visualizations can demonstrate the motivation </w:t>
      </w:r>
      <w:r w:rsidR="00083758">
        <w:t xml:space="preserve">behind the intention to use a clustering technique. Below, you will find maps plotting breast cancer mortality, county proportion of agricultural land use, and </w:t>
      </w:r>
      <w:r w:rsidR="001D2A3F">
        <w:t>county proportion of wooded wetlands.</w:t>
      </w:r>
      <w:r w:rsidR="002702DD">
        <w:t xml:space="preserve"> The elliptical shapes drawn on each map highlight </w:t>
      </w:r>
      <w:r w:rsidR="009055C2">
        <w:t xml:space="preserve">areas in which there may be a relationship between these variables. </w:t>
      </w:r>
    </w:p>
    <w:p w14:paraId="7E401EF2" w14:textId="77777777" w:rsidR="00E53E42" w:rsidRDefault="00E53E42" w:rsidP="00512C43"/>
    <w:p w14:paraId="229B4918" w14:textId="77777777" w:rsidR="00E53E42" w:rsidRDefault="00E53E42" w:rsidP="00512C43"/>
    <w:p w14:paraId="287CFEC3" w14:textId="430CEEAD" w:rsidR="00E53E42" w:rsidRPr="00E53E42" w:rsidRDefault="00A9722B" w:rsidP="00E53E42">
      <w:pPr>
        <w:pStyle w:val="Heading2"/>
      </w:pPr>
      <w:r>
        <w:lastRenderedPageBreak/>
        <w:t xml:space="preserve">Breast Cancer Mortality </w:t>
      </w:r>
      <w:r w:rsidR="00E4644A">
        <w:t>by</w:t>
      </w:r>
      <w:r w:rsidR="00BE2254">
        <w:t xml:space="preserve"> County (2010)</w:t>
      </w:r>
    </w:p>
    <w:p w14:paraId="2005CCFD" w14:textId="3106A8D3" w:rsidR="00512C43" w:rsidRDefault="000A20E6" w:rsidP="00E53E42">
      <w:pPr>
        <w:pStyle w:val="Heading1"/>
      </w:pPr>
      <w:r>
        <w:rPr>
          <w:noProof/>
        </w:rPr>
        <mc:AlternateContent>
          <mc:Choice Requires="wps">
            <w:drawing>
              <wp:anchor distT="0" distB="0" distL="114300" distR="114300" simplePos="0" relativeHeight="251660288" behindDoc="0" locked="0" layoutInCell="1" allowOverlap="1" wp14:anchorId="0E2F768C" wp14:editId="12F9997B">
                <wp:simplePos x="0" y="0"/>
                <wp:positionH relativeFrom="column">
                  <wp:posOffset>1642110</wp:posOffset>
                </wp:positionH>
                <wp:positionV relativeFrom="paragraph">
                  <wp:posOffset>807720</wp:posOffset>
                </wp:positionV>
                <wp:extent cx="1245846" cy="710244"/>
                <wp:effectExtent l="0" t="76200" r="0" b="71120"/>
                <wp:wrapNone/>
                <wp:docPr id="5" name="Oval 5"/>
                <wp:cNvGraphicFramePr/>
                <a:graphic xmlns:a="http://schemas.openxmlformats.org/drawingml/2006/main">
                  <a:graphicData uri="http://schemas.microsoft.com/office/word/2010/wordprocessingShape">
                    <wps:wsp>
                      <wps:cNvSpPr/>
                      <wps:spPr>
                        <a:xfrm rot="20136000">
                          <a:off x="0" y="0"/>
                          <a:ext cx="1245846" cy="710244"/>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C76E1" id="Oval 5" o:spid="_x0000_s1026" style="position:absolute;margin-left:129.3pt;margin-top:63.6pt;width:98.1pt;height:55.9pt;rotation:-159907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" fillcolor="black" strokeweight=".5mm">
                <v:fill opacity="3341f"/>
                <v:stroke joinstyle="miter"/>
              </v:oval>
            </w:pict>
          </mc:Fallback>
        </mc:AlternateContent>
      </w:r>
      <w:r w:rsidR="008E530B">
        <w:rPr>
          <w:noProof/>
        </w:rPr>
        <w:drawing>
          <wp:inline distT="0" distB="0" distL="0" distR="0" wp14:anchorId="0C77EF2F" wp14:editId="14D0AD73">
            <wp:extent cx="3629025" cy="181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3946" cy="1829771"/>
                    </a:xfrm>
                    <a:prstGeom prst="rect">
                      <a:avLst/>
                    </a:prstGeom>
                    <a:noFill/>
                    <a:ln>
                      <a:noFill/>
                    </a:ln>
                  </pic:spPr>
                </pic:pic>
              </a:graphicData>
            </a:graphic>
          </wp:inline>
        </w:drawing>
      </w:r>
    </w:p>
    <w:p w14:paraId="178A1687" w14:textId="77777777" w:rsidR="00BE2254" w:rsidRDefault="00BE2254" w:rsidP="00E53E42"/>
    <w:p w14:paraId="26F88CC8" w14:textId="054AF119" w:rsidR="00BE2254" w:rsidRPr="00E53E42" w:rsidRDefault="00BE2254" w:rsidP="00BE2254">
      <w:pPr>
        <w:pStyle w:val="Heading2"/>
      </w:pPr>
      <w:r>
        <w:t xml:space="preserve">Proportion </w:t>
      </w:r>
      <w:r w:rsidR="00742A69">
        <w:t xml:space="preserve">of </w:t>
      </w:r>
      <w:r w:rsidR="0063089D">
        <w:t>Crop Land Use by County (2010)</w:t>
      </w:r>
    </w:p>
    <w:p w14:paraId="2926841F" w14:textId="5A0FA5B0" w:rsidR="006217E7" w:rsidRDefault="000A20E6" w:rsidP="007754E7">
      <w:r>
        <w:rPr>
          <w:noProof/>
        </w:rPr>
        <mc:AlternateContent>
          <mc:Choice Requires="wps">
            <w:drawing>
              <wp:anchor distT="0" distB="0" distL="114300" distR="114300" simplePos="0" relativeHeight="251662336" behindDoc="0" locked="0" layoutInCell="1" allowOverlap="1" wp14:anchorId="59905C6A" wp14:editId="76B2952F">
                <wp:simplePos x="0" y="0"/>
                <wp:positionH relativeFrom="column">
                  <wp:posOffset>1646874</wp:posOffset>
                </wp:positionH>
                <wp:positionV relativeFrom="paragraph">
                  <wp:posOffset>768033</wp:posOffset>
                </wp:positionV>
                <wp:extent cx="1237638" cy="606810"/>
                <wp:effectExtent l="0" t="76200" r="0" b="79375"/>
                <wp:wrapNone/>
                <wp:docPr id="7" name="Oval 7"/>
                <wp:cNvGraphicFramePr/>
                <a:graphic xmlns:a="http://schemas.openxmlformats.org/drawingml/2006/main">
                  <a:graphicData uri="http://schemas.microsoft.com/office/word/2010/wordprocessingShape">
                    <wps:wsp>
                      <wps:cNvSpPr/>
                      <wps:spPr>
                        <a:xfrm rot="20233800">
                          <a:off x="0" y="0"/>
                          <a:ext cx="1237638" cy="60681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6F22C" id="Oval 7" o:spid="_x0000_s1026" style="position:absolute;margin-left:129.7pt;margin-top:60.5pt;width:97.45pt;height:47.8pt;rotation:-149225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" fillcolor="black" strokeweight=".5mm">
                <v:fill opacity="3341f"/>
                <v:stroke joinstyle="miter"/>
              </v:oval>
            </w:pict>
          </mc:Fallback>
        </mc:AlternateContent>
      </w:r>
      <w:r w:rsidR="008E530B">
        <w:rPr>
          <w:noProof/>
        </w:rPr>
        <w:drawing>
          <wp:inline distT="0" distB="0" distL="0" distR="0" wp14:anchorId="44030B72" wp14:editId="14B1824B">
            <wp:extent cx="3652838" cy="189063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3181" cy="1937394"/>
                    </a:xfrm>
                    <a:prstGeom prst="rect">
                      <a:avLst/>
                    </a:prstGeom>
                    <a:noFill/>
                    <a:ln>
                      <a:noFill/>
                    </a:ln>
                  </pic:spPr>
                </pic:pic>
              </a:graphicData>
            </a:graphic>
          </wp:inline>
        </w:drawing>
      </w:r>
    </w:p>
    <w:p w14:paraId="2CED10D9" w14:textId="77777777" w:rsidR="00AA3D5F" w:rsidRDefault="00AA3D5F" w:rsidP="007754E7"/>
    <w:p w14:paraId="283B24D0" w14:textId="2F7E48C2" w:rsidR="00562C4F" w:rsidRDefault="00562C4F" w:rsidP="00562C4F">
      <w:pPr>
        <w:pStyle w:val="Heading2"/>
      </w:pPr>
      <w:r>
        <w:t>Proportion of Wooded Wetlands by County (2010)</w:t>
      </w:r>
    </w:p>
    <w:p w14:paraId="7CF8D356" w14:textId="77777777" w:rsidR="000843E9" w:rsidRDefault="00AA3D5F" w:rsidP="007754E7">
      <w:r>
        <w:rPr>
          <w:noProof/>
        </w:rPr>
        <mc:AlternateContent>
          <mc:Choice Requires="wps">
            <w:drawing>
              <wp:anchor distT="0" distB="0" distL="114300" distR="114300" simplePos="0" relativeHeight="251664384" behindDoc="0" locked="0" layoutInCell="1" allowOverlap="1" wp14:anchorId="768EC7F7" wp14:editId="5718E04F">
                <wp:simplePos x="0" y="0"/>
                <wp:positionH relativeFrom="column">
                  <wp:posOffset>1523740</wp:posOffset>
                </wp:positionH>
                <wp:positionV relativeFrom="paragraph">
                  <wp:posOffset>883246</wp:posOffset>
                </wp:positionV>
                <wp:extent cx="1240235" cy="638705"/>
                <wp:effectExtent l="0" t="95250" r="0" b="104775"/>
                <wp:wrapNone/>
                <wp:docPr id="15" name="Oval 15"/>
                <wp:cNvGraphicFramePr/>
                <a:graphic xmlns:a="http://schemas.openxmlformats.org/drawingml/2006/main">
                  <a:graphicData uri="http://schemas.microsoft.com/office/word/2010/wordprocessingShape">
                    <wps:wsp>
                      <wps:cNvSpPr/>
                      <wps:spPr>
                        <a:xfrm rot="19959000">
                          <a:off x="0" y="0"/>
                          <a:ext cx="1240235" cy="638705"/>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FCB29" id="Oval 15" o:spid="_x0000_s1026" style="position:absolute;margin-left:120pt;margin-top:69.55pt;width:97.65pt;height:50.3pt;rotation:-179241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" fillcolor="black" strokeweight=".5mm">
                <v:fill opacity="3341f"/>
                <v:stroke joinstyle="miter"/>
              </v:oval>
            </w:pict>
          </mc:Fallback>
        </mc:AlternateContent>
      </w:r>
      <w:r w:rsidR="008E530B">
        <w:rPr>
          <w:noProof/>
        </w:rPr>
        <w:drawing>
          <wp:inline distT="0" distB="0" distL="0" distR="0" wp14:anchorId="2B7A11CA" wp14:editId="2F2AF62E">
            <wp:extent cx="3667125" cy="20699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2280" cy="2089773"/>
                    </a:xfrm>
                    <a:prstGeom prst="rect">
                      <a:avLst/>
                    </a:prstGeom>
                    <a:noFill/>
                    <a:ln>
                      <a:noFill/>
                    </a:ln>
                  </pic:spPr>
                </pic:pic>
              </a:graphicData>
            </a:graphic>
          </wp:inline>
        </w:drawing>
      </w:r>
    </w:p>
    <w:p w14:paraId="5A950E1F" w14:textId="14769CD8" w:rsidR="00072CDD" w:rsidRDefault="000843E9" w:rsidP="000843E9">
      <w:pPr>
        <w:pStyle w:val="Heading1"/>
      </w:pPr>
      <w:r>
        <w:lastRenderedPageBreak/>
        <w:t>Princip</w:t>
      </w:r>
      <w:r w:rsidR="00435100">
        <w:t>al</w:t>
      </w:r>
      <w:r>
        <w:t xml:space="preserve"> Component Analysis</w:t>
      </w:r>
    </w:p>
    <w:p w14:paraId="354271F8" w14:textId="576D12F9" w:rsidR="00435100" w:rsidRPr="00463AF4" w:rsidRDefault="00072CDD" w:rsidP="00842E9F">
      <w:pPr>
        <w:pStyle w:val="Heading1"/>
        <w:spacing w:after="24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We conduct PCA on the </w:t>
      </w:r>
      <w:proofErr w:type="spellStart"/>
      <w:r>
        <w:rPr>
          <w:rFonts w:asciiTheme="minorHAnsi" w:eastAsiaTheme="minorHAnsi" w:hAnsiTheme="minorHAnsi" w:cstheme="minorBidi"/>
          <w:color w:val="auto"/>
          <w:sz w:val="22"/>
          <w:szCs w:val="22"/>
        </w:rPr>
        <w:t>NaNDA</w:t>
      </w:r>
      <w:proofErr w:type="spellEnd"/>
      <w:r>
        <w:rPr>
          <w:rFonts w:asciiTheme="minorHAnsi" w:eastAsiaTheme="minorHAnsi" w:hAnsiTheme="minorHAnsi" w:cstheme="minorBidi"/>
          <w:color w:val="auto"/>
          <w:sz w:val="22"/>
          <w:szCs w:val="22"/>
        </w:rPr>
        <w:t xml:space="preserve"> data, which are used as the predictor variables in </w:t>
      </w:r>
      <w:r w:rsidR="00E95538">
        <w:rPr>
          <w:rFonts w:asciiTheme="minorHAnsi" w:eastAsiaTheme="minorHAnsi" w:hAnsiTheme="minorHAnsi" w:cstheme="minorBidi"/>
          <w:color w:val="auto"/>
          <w:sz w:val="22"/>
          <w:szCs w:val="22"/>
        </w:rPr>
        <w:t>all</w:t>
      </w:r>
      <w:r w:rsidR="00FD0BCC">
        <w:rPr>
          <w:rFonts w:asciiTheme="minorHAnsi" w:eastAsiaTheme="minorHAnsi" w:hAnsiTheme="minorHAnsi" w:cstheme="minorBidi"/>
          <w:color w:val="auto"/>
          <w:sz w:val="22"/>
          <w:szCs w:val="22"/>
        </w:rPr>
        <w:t xml:space="preserve"> the potential </w:t>
      </w:r>
      <w:r>
        <w:rPr>
          <w:rFonts w:asciiTheme="minorHAnsi" w:eastAsiaTheme="minorHAnsi" w:hAnsiTheme="minorHAnsi" w:cstheme="minorBidi"/>
          <w:color w:val="auto"/>
          <w:sz w:val="22"/>
          <w:szCs w:val="22"/>
        </w:rPr>
        <w:t>learning model</w:t>
      </w:r>
      <w:r w:rsidR="005244E7">
        <w:rPr>
          <w:rFonts w:asciiTheme="minorHAnsi" w:eastAsiaTheme="minorHAnsi" w:hAnsiTheme="minorHAnsi" w:cstheme="minorBidi"/>
          <w:color w:val="auto"/>
          <w:sz w:val="22"/>
          <w:szCs w:val="22"/>
        </w:rPr>
        <w:t>s</w:t>
      </w:r>
      <w:r>
        <w:rPr>
          <w:rFonts w:asciiTheme="minorHAnsi" w:eastAsiaTheme="minorHAnsi" w:hAnsiTheme="minorHAnsi" w:cstheme="minorBidi"/>
          <w:color w:val="auto"/>
          <w:sz w:val="22"/>
          <w:szCs w:val="22"/>
        </w:rPr>
        <w:t>.</w:t>
      </w:r>
      <w:r w:rsidR="00E95538">
        <w:rPr>
          <w:rFonts w:asciiTheme="minorHAnsi" w:eastAsiaTheme="minorHAnsi" w:hAnsiTheme="minorHAnsi" w:cstheme="minorBidi"/>
          <w:color w:val="auto"/>
          <w:sz w:val="22"/>
          <w:szCs w:val="22"/>
        </w:rPr>
        <w:t xml:space="preserve"> </w:t>
      </w:r>
      <w:r w:rsidR="002B18EC">
        <w:rPr>
          <w:rFonts w:asciiTheme="minorHAnsi" w:eastAsiaTheme="minorHAnsi" w:hAnsiTheme="minorHAnsi" w:cstheme="minorBidi"/>
          <w:color w:val="auto"/>
          <w:sz w:val="22"/>
          <w:szCs w:val="22"/>
        </w:rPr>
        <w:t>The s</w:t>
      </w:r>
      <w:r w:rsidR="00E95538">
        <w:rPr>
          <w:rFonts w:asciiTheme="minorHAnsi" w:eastAsiaTheme="minorHAnsi" w:hAnsiTheme="minorHAnsi" w:cstheme="minorBidi"/>
          <w:color w:val="auto"/>
          <w:sz w:val="22"/>
          <w:szCs w:val="22"/>
        </w:rPr>
        <w:t xml:space="preserve">cree </w:t>
      </w:r>
      <w:r w:rsidR="00435100">
        <w:rPr>
          <w:rFonts w:asciiTheme="minorHAnsi" w:eastAsiaTheme="minorHAnsi" w:hAnsiTheme="minorHAnsi" w:cstheme="minorBidi"/>
          <w:color w:val="auto"/>
          <w:sz w:val="22"/>
          <w:szCs w:val="22"/>
        </w:rPr>
        <w:t>plot</w:t>
      </w:r>
      <w:r w:rsidR="002B18EC">
        <w:rPr>
          <w:rFonts w:asciiTheme="minorHAnsi" w:eastAsiaTheme="minorHAnsi" w:hAnsiTheme="minorHAnsi" w:cstheme="minorBidi"/>
          <w:color w:val="auto"/>
          <w:sz w:val="22"/>
          <w:szCs w:val="22"/>
        </w:rPr>
        <w:t xml:space="preserve"> below</w:t>
      </w:r>
      <w:r w:rsidR="00435100">
        <w:rPr>
          <w:rFonts w:asciiTheme="minorHAnsi" w:eastAsiaTheme="minorHAnsi" w:hAnsiTheme="minorHAnsi" w:cstheme="minorBidi"/>
          <w:color w:val="auto"/>
          <w:sz w:val="22"/>
          <w:szCs w:val="22"/>
        </w:rPr>
        <w:t xml:space="preserve"> visualizes how much variance is explained by each single principal component and the </w:t>
      </w:r>
      <w:r w:rsidR="00E641E3">
        <w:rPr>
          <w:rFonts w:asciiTheme="minorHAnsi" w:eastAsiaTheme="minorHAnsi" w:hAnsiTheme="minorHAnsi" w:cstheme="minorBidi"/>
          <w:color w:val="auto"/>
          <w:sz w:val="22"/>
          <w:szCs w:val="22"/>
        </w:rPr>
        <w:t>cumulative variance explained</w:t>
      </w:r>
      <w:r w:rsidR="00435100">
        <w:rPr>
          <w:rFonts w:asciiTheme="minorHAnsi" w:eastAsiaTheme="minorHAnsi" w:hAnsiTheme="minorHAnsi" w:cstheme="minorBidi"/>
          <w:color w:val="auto"/>
          <w:sz w:val="22"/>
          <w:szCs w:val="22"/>
        </w:rPr>
        <w:t>.</w:t>
      </w:r>
      <w:r w:rsidR="002B18EC">
        <w:rPr>
          <w:rFonts w:asciiTheme="minorHAnsi" w:eastAsiaTheme="minorHAnsi" w:hAnsiTheme="minorHAnsi" w:cstheme="minorBidi"/>
          <w:color w:val="auto"/>
          <w:sz w:val="22"/>
          <w:szCs w:val="22"/>
        </w:rPr>
        <w:t xml:space="preserve"> Based on the plot, we do not observe a perfect “elbow” point. </w:t>
      </w:r>
      <w:r w:rsidR="00231074">
        <w:rPr>
          <w:rFonts w:asciiTheme="minorHAnsi" w:eastAsiaTheme="minorHAnsi" w:hAnsiTheme="minorHAnsi" w:cstheme="minorBidi"/>
          <w:color w:val="auto"/>
          <w:sz w:val="22"/>
          <w:szCs w:val="22"/>
        </w:rPr>
        <w:t>The predictor variables cannot be represented by only a few principal components.</w:t>
      </w:r>
    </w:p>
    <w:p w14:paraId="15FB1749" w14:textId="43514995" w:rsidR="00435100" w:rsidRPr="00435100" w:rsidRDefault="00842E9F" w:rsidP="00435100">
      <w:r>
        <w:rPr>
          <w:noProof/>
        </w:rPr>
        <w:drawing>
          <wp:inline distT="0" distB="0" distL="0" distR="0" wp14:anchorId="2080B811" wp14:editId="4F216842">
            <wp:extent cx="5943600" cy="2411095"/>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14:paraId="7D942363" w14:textId="4B96F40C" w:rsidR="00463AF4" w:rsidRDefault="007F5076" w:rsidP="00BE0789">
      <w:pPr>
        <w:pStyle w:val="Heading1"/>
        <w:spacing w:after="240"/>
      </w:pPr>
      <w:r>
        <w:t>K-Means Clustering</w:t>
      </w:r>
    </w:p>
    <w:p w14:paraId="6FF80F23" w14:textId="46531D51" w:rsidR="007F5076" w:rsidRDefault="00463AF4" w:rsidP="007F5076">
      <w:r>
        <w:t>We conduct K-Means Clustering on the first and second principal components. We try with three different values for the number of clusters and visualize the results. Based on the plot below, we observe that there seems only one cluster for the first two principal components.</w:t>
      </w:r>
    </w:p>
    <w:p w14:paraId="635CDBCE" w14:textId="5FE35285" w:rsidR="007F5076" w:rsidRPr="007F5076" w:rsidRDefault="00842E9F" w:rsidP="007F5076">
      <w:r>
        <w:rPr>
          <w:noProof/>
        </w:rPr>
        <w:drawing>
          <wp:inline distT="0" distB="0" distL="0" distR="0" wp14:anchorId="2EE19CA6" wp14:editId="61408103">
            <wp:extent cx="5943600" cy="2411095"/>
            <wp:effectExtent l="0" t="0" r="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14:paraId="017334B8" w14:textId="3BBA2FA4" w:rsidR="004F1650" w:rsidRDefault="004F1650" w:rsidP="00AF6FCB">
      <w:pPr>
        <w:pStyle w:val="Heading1"/>
      </w:pPr>
    </w:p>
    <w:p w14:paraId="70C27447" w14:textId="6EF3BAF5" w:rsidR="004F1650" w:rsidRDefault="004F1650" w:rsidP="004F1650"/>
    <w:p w14:paraId="175829E4" w14:textId="77777777" w:rsidR="004F1650" w:rsidRPr="004F1650" w:rsidRDefault="004F1650" w:rsidP="004F1650"/>
    <w:p w14:paraId="7C729C0D" w14:textId="14C5C069" w:rsidR="00AF6FCB" w:rsidRDefault="00AF6FCB" w:rsidP="00AF6FCB">
      <w:pPr>
        <w:pStyle w:val="Heading1"/>
      </w:pPr>
      <w:r>
        <w:t>References</w:t>
      </w:r>
    </w:p>
    <w:p w14:paraId="5B2D9924" w14:textId="77777777" w:rsidR="006E194B" w:rsidRPr="009C5D77" w:rsidRDefault="006E194B" w:rsidP="006E194B">
      <w:pPr>
        <w:pStyle w:val="ListParagraph"/>
        <w:numPr>
          <w:ilvl w:val="0"/>
          <w:numId w:val="1"/>
        </w:numPr>
        <w:rPr>
          <w:rFonts w:cstheme="minorHAnsi"/>
        </w:rPr>
      </w:pPr>
      <w:r w:rsidRPr="009C5D77">
        <w:rPr>
          <w:rFonts w:cstheme="minorHAnsi"/>
          <w:shd w:val="clear" w:color="auto" w:fill="FFFFFF"/>
        </w:rPr>
        <w:t xml:space="preserve">O'Callaghan-Gordo C, </w:t>
      </w:r>
      <w:proofErr w:type="spellStart"/>
      <w:r w:rsidRPr="009C5D77">
        <w:rPr>
          <w:rFonts w:cstheme="minorHAnsi"/>
          <w:shd w:val="clear" w:color="auto" w:fill="FFFFFF"/>
        </w:rPr>
        <w:t>Kogevinas</w:t>
      </w:r>
      <w:proofErr w:type="spellEnd"/>
      <w:r w:rsidRPr="009C5D77">
        <w:rPr>
          <w:rFonts w:cstheme="minorHAnsi"/>
          <w:shd w:val="clear" w:color="auto" w:fill="FFFFFF"/>
        </w:rPr>
        <w:t xml:space="preserve"> M, </w:t>
      </w:r>
      <w:proofErr w:type="spellStart"/>
      <w:r w:rsidRPr="009C5D77">
        <w:rPr>
          <w:rFonts w:cstheme="minorHAnsi"/>
          <w:shd w:val="clear" w:color="auto" w:fill="FFFFFF"/>
        </w:rPr>
        <w:t>Cirach</w:t>
      </w:r>
      <w:proofErr w:type="spellEnd"/>
      <w:r w:rsidRPr="009C5D77">
        <w:rPr>
          <w:rFonts w:cstheme="minorHAnsi"/>
          <w:shd w:val="clear" w:color="auto" w:fill="FFFFFF"/>
        </w:rPr>
        <w:t xml:space="preserve"> M, </w:t>
      </w:r>
      <w:proofErr w:type="spellStart"/>
      <w:r w:rsidRPr="009C5D77">
        <w:rPr>
          <w:rFonts w:cstheme="minorHAnsi"/>
          <w:shd w:val="clear" w:color="auto" w:fill="FFFFFF"/>
        </w:rPr>
        <w:t>Castaño-Vinyals</w:t>
      </w:r>
      <w:proofErr w:type="spellEnd"/>
      <w:r w:rsidRPr="009C5D77">
        <w:rPr>
          <w:rFonts w:cstheme="minorHAnsi"/>
          <w:shd w:val="clear" w:color="auto" w:fill="FFFFFF"/>
        </w:rPr>
        <w:t xml:space="preserve"> G, </w:t>
      </w:r>
      <w:proofErr w:type="spellStart"/>
      <w:r w:rsidRPr="009C5D77">
        <w:rPr>
          <w:rFonts w:cstheme="minorHAnsi"/>
          <w:shd w:val="clear" w:color="auto" w:fill="FFFFFF"/>
        </w:rPr>
        <w:t>Aragonés</w:t>
      </w:r>
      <w:proofErr w:type="spellEnd"/>
      <w:r w:rsidRPr="009C5D77">
        <w:rPr>
          <w:rFonts w:cstheme="minorHAnsi"/>
          <w:shd w:val="clear" w:color="auto" w:fill="FFFFFF"/>
        </w:rPr>
        <w:t xml:space="preserve"> N, </w:t>
      </w:r>
      <w:proofErr w:type="spellStart"/>
      <w:r w:rsidRPr="009C5D77">
        <w:rPr>
          <w:rFonts w:cstheme="minorHAnsi"/>
          <w:shd w:val="clear" w:color="auto" w:fill="FFFFFF"/>
        </w:rPr>
        <w:t>Delfrade</w:t>
      </w:r>
      <w:proofErr w:type="spellEnd"/>
      <w:r w:rsidRPr="009C5D77">
        <w:rPr>
          <w:rFonts w:cstheme="minorHAnsi"/>
          <w:shd w:val="clear" w:color="auto" w:fill="FFFFFF"/>
        </w:rPr>
        <w:t xml:space="preserve"> J, Fernández-Villa T, </w:t>
      </w:r>
      <w:proofErr w:type="spellStart"/>
      <w:r w:rsidRPr="009C5D77">
        <w:rPr>
          <w:rFonts w:cstheme="minorHAnsi"/>
          <w:shd w:val="clear" w:color="auto" w:fill="FFFFFF"/>
        </w:rPr>
        <w:t>Amiano</w:t>
      </w:r>
      <w:proofErr w:type="spellEnd"/>
      <w:r w:rsidRPr="009C5D77">
        <w:rPr>
          <w:rFonts w:cstheme="minorHAnsi"/>
          <w:shd w:val="clear" w:color="auto" w:fill="FFFFFF"/>
        </w:rPr>
        <w:t xml:space="preserve"> P, </w:t>
      </w:r>
      <w:proofErr w:type="spellStart"/>
      <w:r w:rsidRPr="009C5D77">
        <w:rPr>
          <w:rFonts w:cstheme="minorHAnsi"/>
          <w:shd w:val="clear" w:color="auto" w:fill="FFFFFF"/>
        </w:rPr>
        <w:t>Dierssen-Sotos</w:t>
      </w:r>
      <w:proofErr w:type="spellEnd"/>
      <w:r w:rsidRPr="009C5D77">
        <w:rPr>
          <w:rFonts w:cstheme="minorHAnsi"/>
          <w:shd w:val="clear" w:color="auto" w:fill="FFFFFF"/>
        </w:rPr>
        <w:t xml:space="preserve"> T, </w:t>
      </w:r>
      <w:proofErr w:type="spellStart"/>
      <w:r w:rsidRPr="009C5D77">
        <w:rPr>
          <w:rFonts w:cstheme="minorHAnsi"/>
          <w:shd w:val="clear" w:color="auto" w:fill="FFFFFF"/>
        </w:rPr>
        <w:t>Tardon</w:t>
      </w:r>
      <w:proofErr w:type="spellEnd"/>
      <w:r w:rsidRPr="009C5D77">
        <w:rPr>
          <w:rFonts w:cstheme="minorHAnsi"/>
          <w:shd w:val="clear" w:color="auto" w:fill="FFFFFF"/>
        </w:rPr>
        <w:t xml:space="preserve"> A, </w:t>
      </w:r>
      <w:proofErr w:type="spellStart"/>
      <w:r w:rsidRPr="009C5D77">
        <w:rPr>
          <w:rFonts w:cstheme="minorHAnsi"/>
          <w:shd w:val="clear" w:color="auto" w:fill="FFFFFF"/>
        </w:rPr>
        <w:t>Capelo</w:t>
      </w:r>
      <w:proofErr w:type="spellEnd"/>
      <w:r w:rsidRPr="009C5D77">
        <w:rPr>
          <w:rFonts w:cstheme="minorHAnsi"/>
          <w:shd w:val="clear" w:color="auto" w:fill="FFFFFF"/>
        </w:rPr>
        <w:t xml:space="preserve"> R, </w:t>
      </w:r>
      <w:proofErr w:type="spellStart"/>
      <w:r w:rsidRPr="009C5D77">
        <w:rPr>
          <w:rFonts w:cstheme="minorHAnsi"/>
          <w:shd w:val="clear" w:color="auto" w:fill="FFFFFF"/>
        </w:rPr>
        <w:t>Peiró</w:t>
      </w:r>
      <w:proofErr w:type="spellEnd"/>
      <w:r w:rsidRPr="009C5D77">
        <w:rPr>
          <w:rFonts w:cstheme="minorHAnsi"/>
          <w:shd w:val="clear" w:color="auto" w:fill="FFFFFF"/>
        </w:rPr>
        <w:t xml:space="preserve">-Perez R, Moreno V, Roca-Barceló A, Perez-Gomez B, </w:t>
      </w:r>
      <w:proofErr w:type="spellStart"/>
      <w:r w:rsidRPr="009C5D77">
        <w:rPr>
          <w:rFonts w:cstheme="minorHAnsi"/>
          <w:shd w:val="clear" w:color="auto" w:fill="FFFFFF"/>
        </w:rPr>
        <w:t>Vidan</w:t>
      </w:r>
      <w:proofErr w:type="spellEnd"/>
      <w:r w:rsidRPr="009C5D77">
        <w:rPr>
          <w:rFonts w:cstheme="minorHAnsi"/>
          <w:shd w:val="clear" w:color="auto" w:fill="FFFFFF"/>
        </w:rPr>
        <w:t xml:space="preserve"> J, Molina AJ, Oribe M, </w:t>
      </w:r>
      <w:proofErr w:type="spellStart"/>
      <w:r w:rsidRPr="009C5D77">
        <w:rPr>
          <w:rFonts w:cstheme="minorHAnsi"/>
          <w:shd w:val="clear" w:color="auto" w:fill="FFFFFF"/>
        </w:rPr>
        <w:t>Gràcia-Lavedan</w:t>
      </w:r>
      <w:proofErr w:type="spellEnd"/>
      <w:r w:rsidRPr="009C5D77">
        <w:rPr>
          <w:rFonts w:cstheme="minorHAnsi"/>
          <w:shd w:val="clear" w:color="auto" w:fill="FFFFFF"/>
        </w:rPr>
        <w:t xml:space="preserve"> E, Espinosa A, Valentin A, </w:t>
      </w:r>
      <w:proofErr w:type="spellStart"/>
      <w:r w:rsidRPr="009C5D77">
        <w:rPr>
          <w:rFonts w:cstheme="minorHAnsi"/>
          <w:shd w:val="clear" w:color="auto" w:fill="FFFFFF"/>
        </w:rPr>
        <w:t>Pollán</w:t>
      </w:r>
      <w:proofErr w:type="spellEnd"/>
      <w:r w:rsidRPr="009C5D77">
        <w:rPr>
          <w:rFonts w:cstheme="minorHAnsi"/>
          <w:shd w:val="clear" w:color="auto" w:fill="FFFFFF"/>
        </w:rPr>
        <w:t xml:space="preserve"> M, </w:t>
      </w:r>
      <w:proofErr w:type="spellStart"/>
      <w:r w:rsidRPr="009C5D77">
        <w:rPr>
          <w:rFonts w:cstheme="minorHAnsi"/>
          <w:shd w:val="clear" w:color="auto" w:fill="FFFFFF"/>
        </w:rPr>
        <w:t>Nieuwenhuijsen</w:t>
      </w:r>
      <w:proofErr w:type="spellEnd"/>
      <w:r w:rsidRPr="009C5D77">
        <w:rPr>
          <w:rFonts w:cstheme="minorHAnsi"/>
          <w:shd w:val="clear" w:color="auto" w:fill="FFFFFF"/>
        </w:rPr>
        <w:t xml:space="preserve"> MJ. Residential proximity to green spaces and breast cancer risk: The </w:t>
      </w:r>
      <w:proofErr w:type="spellStart"/>
      <w:r w:rsidRPr="009C5D77">
        <w:rPr>
          <w:rFonts w:cstheme="minorHAnsi"/>
          <w:shd w:val="clear" w:color="auto" w:fill="FFFFFF"/>
        </w:rPr>
        <w:t>multicase</w:t>
      </w:r>
      <w:proofErr w:type="spellEnd"/>
      <w:r w:rsidRPr="009C5D77">
        <w:rPr>
          <w:rFonts w:cstheme="minorHAnsi"/>
          <w:shd w:val="clear" w:color="auto" w:fill="FFFFFF"/>
        </w:rPr>
        <w:t xml:space="preserve">-control study in Spain (MCC-Spain). Int J </w:t>
      </w:r>
      <w:proofErr w:type="spellStart"/>
      <w:r w:rsidRPr="009C5D77">
        <w:rPr>
          <w:rFonts w:cstheme="minorHAnsi"/>
          <w:shd w:val="clear" w:color="auto" w:fill="FFFFFF"/>
        </w:rPr>
        <w:t>Hyg</w:t>
      </w:r>
      <w:proofErr w:type="spellEnd"/>
      <w:r w:rsidRPr="009C5D77">
        <w:rPr>
          <w:rFonts w:cstheme="minorHAnsi"/>
          <w:shd w:val="clear" w:color="auto" w:fill="FFFFFF"/>
        </w:rPr>
        <w:t xml:space="preserve"> Environ Health. 2018 Sep;221(8):1097-1106. </w:t>
      </w:r>
      <w:proofErr w:type="spellStart"/>
      <w:r w:rsidRPr="009C5D77">
        <w:rPr>
          <w:rFonts w:cstheme="minorHAnsi"/>
          <w:shd w:val="clear" w:color="auto" w:fill="FFFFFF"/>
        </w:rPr>
        <w:t>doi</w:t>
      </w:r>
      <w:proofErr w:type="spellEnd"/>
      <w:r w:rsidRPr="009C5D77">
        <w:rPr>
          <w:rFonts w:cstheme="minorHAnsi"/>
          <w:shd w:val="clear" w:color="auto" w:fill="FFFFFF"/>
        </w:rPr>
        <w:t xml:space="preserve">: 10.1016/j.ijheh.2018.07.014. </w:t>
      </w:r>
      <w:proofErr w:type="spellStart"/>
      <w:r w:rsidRPr="009C5D77">
        <w:rPr>
          <w:rFonts w:cstheme="minorHAnsi"/>
          <w:shd w:val="clear" w:color="auto" w:fill="FFFFFF"/>
        </w:rPr>
        <w:t>Epub</w:t>
      </w:r>
      <w:proofErr w:type="spellEnd"/>
      <w:r w:rsidRPr="009C5D77">
        <w:rPr>
          <w:rFonts w:cstheme="minorHAnsi"/>
          <w:shd w:val="clear" w:color="auto" w:fill="FFFFFF"/>
        </w:rPr>
        <w:t xml:space="preserve"> 2018 Aug 1. PMID: 30076044.</w:t>
      </w:r>
    </w:p>
    <w:p w14:paraId="11C7BA82" w14:textId="77777777" w:rsidR="009C5D77" w:rsidRPr="009C5D77" w:rsidRDefault="009C5D77" w:rsidP="009C5D77">
      <w:pPr>
        <w:pStyle w:val="ListParagraph"/>
        <w:ind w:left="360"/>
        <w:rPr>
          <w:rFonts w:cstheme="minorHAnsi"/>
        </w:rPr>
      </w:pPr>
    </w:p>
    <w:p w14:paraId="65A2306C" w14:textId="380EBE02" w:rsidR="00AF6FCB" w:rsidRDefault="00DA5066" w:rsidP="009C5D77">
      <w:pPr>
        <w:pStyle w:val="ListParagraph"/>
        <w:numPr>
          <w:ilvl w:val="0"/>
          <w:numId w:val="1"/>
        </w:numPr>
      </w:pPr>
      <w:r w:rsidRPr="009C5D77">
        <w:t xml:space="preserve">Hari S. </w:t>
      </w:r>
      <w:proofErr w:type="spellStart"/>
      <w:r w:rsidRPr="009C5D77">
        <w:t>Iyer</w:t>
      </w:r>
      <w:proofErr w:type="spellEnd"/>
      <w:r w:rsidRPr="009C5D77">
        <w:t xml:space="preserve">, Jaime E. Hart, Peter James, Elise G. Elliott, Nicole V. </w:t>
      </w:r>
      <w:proofErr w:type="spellStart"/>
      <w:r w:rsidRPr="009C5D77">
        <w:t>DeVille</w:t>
      </w:r>
      <w:proofErr w:type="spellEnd"/>
      <w:r w:rsidRPr="009C5D77">
        <w:t xml:space="preserve">, Michelle D. Holmes, Immaculata De Vivo, Lorelei A. </w:t>
      </w:r>
      <w:proofErr w:type="spellStart"/>
      <w:r w:rsidRPr="009C5D77">
        <w:t>Mucci</w:t>
      </w:r>
      <w:proofErr w:type="spellEnd"/>
      <w:r w:rsidRPr="009C5D77">
        <w:t xml:space="preserve">, Francine Laden, Timothy R. </w:t>
      </w:r>
      <w:proofErr w:type="spellStart"/>
      <w:r w:rsidRPr="009C5D77">
        <w:t>Rebbeck</w:t>
      </w:r>
      <w:proofErr w:type="spellEnd"/>
      <w:r w:rsidR="007B0F7B" w:rsidRPr="009C5D77">
        <w:t xml:space="preserve">. </w:t>
      </w:r>
      <w:r w:rsidRPr="009C5D77">
        <w:t>Impact of neighborhood socioeconomic status, income segregation, and greenness on blood biomarkers of inflammation</w:t>
      </w:r>
      <w:r w:rsidR="007B0F7B" w:rsidRPr="009C5D77">
        <w:t xml:space="preserve">. </w:t>
      </w:r>
      <w:r w:rsidRPr="009C5D77">
        <w:t>Environment International,</w:t>
      </w:r>
      <w:r w:rsidR="007B0F7B" w:rsidRPr="009C5D77">
        <w:t xml:space="preserve"> </w:t>
      </w:r>
      <w:r w:rsidRPr="009C5D77">
        <w:t>Volume 162,</w:t>
      </w:r>
      <w:r w:rsidR="007B0F7B" w:rsidRPr="009C5D77">
        <w:t xml:space="preserve"> </w:t>
      </w:r>
      <w:r w:rsidRPr="009C5D77">
        <w:t>2022</w:t>
      </w:r>
      <w:r w:rsidR="007B0F7B" w:rsidRPr="009C5D77">
        <w:t xml:space="preserve">. </w:t>
      </w:r>
      <w:r w:rsidRPr="009C5D77">
        <w:t>107164,</w:t>
      </w:r>
      <w:r w:rsidR="007B0F7B" w:rsidRPr="009C5D77">
        <w:t xml:space="preserve"> </w:t>
      </w:r>
      <w:r w:rsidRPr="009C5D77">
        <w:t>ISSN 0160-4120</w:t>
      </w:r>
      <w:r w:rsidR="009C5D77" w:rsidRPr="009C5D77">
        <w:t xml:space="preserve">. </w:t>
      </w:r>
      <w:hyperlink r:id="rId13" w:history="1">
        <w:r w:rsidR="00FF1D0A" w:rsidRPr="00A449D3">
          <w:rPr>
            <w:rStyle w:val="Hyperlink"/>
          </w:rPr>
          <w:t>https://doi.org/10.1016/j.envint.2022.107164</w:t>
        </w:r>
      </w:hyperlink>
      <w:r w:rsidRPr="009C5D77">
        <w:t>.</w:t>
      </w:r>
    </w:p>
    <w:p w14:paraId="289C21C7" w14:textId="77777777" w:rsidR="00FF1D0A" w:rsidRDefault="00FF1D0A" w:rsidP="00FF1D0A">
      <w:pPr>
        <w:pStyle w:val="ListParagraph"/>
      </w:pPr>
    </w:p>
    <w:p w14:paraId="22760023" w14:textId="77777777" w:rsidR="00FF1D0A" w:rsidRPr="00FF1D0A" w:rsidRDefault="00FF1D0A" w:rsidP="00FF1D0A">
      <w:pPr>
        <w:pStyle w:val="ListParagraph"/>
        <w:numPr>
          <w:ilvl w:val="0"/>
          <w:numId w:val="1"/>
        </w:numPr>
        <w:rPr>
          <w:rFonts w:cstheme="minorHAnsi"/>
        </w:rPr>
      </w:pPr>
      <w:r w:rsidRPr="00FF1D0A">
        <w:rPr>
          <w:rFonts w:cstheme="minorHAnsi"/>
          <w:shd w:val="clear" w:color="auto" w:fill="FFFFFF"/>
        </w:rPr>
        <w:t>Lifetime Risk (Percent) of Dying from Cancer by Site and Race/Ethnicity: Females, Total US, 2014-2016 (Table 1.19). https://seer.cancer.gov/csr/2016_2018/results_merged/topic_lifetime_risk.pdf. 2019. Accessed November 5, 2021.</w:t>
      </w:r>
    </w:p>
    <w:p w14:paraId="571E65DA" w14:textId="77777777" w:rsidR="00FF1D0A" w:rsidRPr="009C5D77" w:rsidRDefault="00FF1D0A" w:rsidP="00FF1D0A"/>
    <w:p w14:paraId="60C1E4F7" w14:textId="150E58DF" w:rsidR="0014691A" w:rsidRDefault="00A83A7C" w:rsidP="007F5076">
      <w:pPr>
        <w:spacing w:line="240" w:lineRule="auto"/>
      </w:pPr>
      <w:r>
        <w:tab/>
      </w:r>
    </w:p>
    <w:p w14:paraId="1E97E8F4" w14:textId="77777777" w:rsidR="0014691A" w:rsidRDefault="0014691A"/>
    <w:sectPr w:rsidR="00146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35B5" w14:textId="77777777" w:rsidR="0044048D" w:rsidRDefault="0044048D" w:rsidP="00E53E42">
      <w:pPr>
        <w:spacing w:after="0" w:line="240" w:lineRule="auto"/>
      </w:pPr>
      <w:r>
        <w:separator/>
      </w:r>
    </w:p>
  </w:endnote>
  <w:endnote w:type="continuationSeparator" w:id="0">
    <w:p w14:paraId="0AC054F7" w14:textId="77777777" w:rsidR="0044048D" w:rsidRDefault="0044048D" w:rsidP="00E53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DBFD8" w14:textId="77777777" w:rsidR="0044048D" w:rsidRDefault="0044048D" w:rsidP="00E53E42">
      <w:pPr>
        <w:spacing w:after="0" w:line="240" w:lineRule="auto"/>
      </w:pPr>
      <w:r>
        <w:separator/>
      </w:r>
    </w:p>
  </w:footnote>
  <w:footnote w:type="continuationSeparator" w:id="0">
    <w:p w14:paraId="41013CDC" w14:textId="77777777" w:rsidR="0044048D" w:rsidRDefault="0044048D" w:rsidP="00E53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0A00"/>
    <w:multiLevelType w:val="hybridMultilevel"/>
    <w:tmpl w:val="6F86CD22"/>
    <w:lvl w:ilvl="0" w:tplc="F0348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641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14"/>
    <w:rsid w:val="00044AEA"/>
    <w:rsid w:val="00072CDD"/>
    <w:rsid w:val="00083758"/>
    <w:rsid w:val="000843E9"/>
    <w:rsid w:val="000A20E6"/>
    <w:rsid w:val="000A7DC8"/>
    <w:rsid w:val="000B1D44"/>
    <w:rsid w:val="000C36F8"/>
    <w:rsid w:val="000D0799"/>
    <w:rsid w:val="000D3345"/>
    <w:rsid w:val="000E02C3"/>
    <w:rsid w:val="000F399E"/>
    <w:rsid w:val="001054B5"/>
    <w:rsid w:val="00112309"/>
    <w:rsid w:val="0014691A"/>
    <w:rsid w:val="001B117D"/>
    <w:rsid w:val="001D2A3F"/>
    <w:rsid w:val="001D3C6E"/>
    <w:rsid w:val="001E29DF"/>
    <w:rsid w:val="00202E35"/>
    <w:rsid w:val="00222ABB"/>
    <w:rsid w:val="00231074"/>
    <w:rsid w:val="00242B59"/>
    <w:rsid w:val="002702DD"/>
    <w:rsid w:val="002A2119"/>
    <w:rsid w:val="002B18EC"/>
    <w:rsid w:val="002C595E"/>
    <w:rsid w:val="002D4F3F"/>
    <w:rsid w:val="0036797A"/>
    <w:rsid w:val="00380A1A"/>
    <w:rsid w:val="003C3887"/>
    <w:rsid w:val="003D6216"/>
    <w:rsid w:val="003E58A4"/>
    <w:rsid w:val="003F24B3"/>
    <w:rsid w:val="00406AA2"/>
    <w:rsid w:val="00411460"/>
    <w:rsid w:val="00411E9B"/>
    <w:rsid w:val="00435100"/>
    <w:rsid w:val="0044048D"/>
    <w:rsid w:val="0045129E"/>
    <w:rsid w:val="00463AF4"/>
    <w:rsid w:val="0047034A"/>
    <w:rsid w:val="004F1650"/>
    <w:rsid w:val="004F24D5"/>
    <w:rsid w:val="00512C43"/>
    <w:rsid w:val="005244E7"/>
    <w:rsid w:val="00562C4F"/>
    <w:rsid w:val="0059458B"/>
    <w:rsid w:val="005C305D"/>
    <w:rsid w:val="005C72A2"/>
    <w:rsid w:val="006045D6"/>
    <w:rsid w:val="0061456B"/>
    <w:rsid w:val="006217E7"/>
    <w:rsid w:val="0063089D"/>
    <w:rsid w:val="00653908"/>
    <w:rsid w:val="006D13BB"/>
    <w:rsid w:val="006E194B"/>
    <w:rsid w:val="006E3C45"/>
    <w:rsid w:val="006F7DD5"/>
    <w:rsid w:val="00742A69"/>
    <w:rsid w:val="007754E7"/>
    <w:rsid w:val="007B0F7B"/>
    <w:rsid w:val="007C64EB"/>
    <w:rsid w:val="007D2D6A"/>
    <w:rsid w:val="007F5076"/>
    <w:rsid w:val="00842E9F"/>
    <w:rsid w:val="00884F7C"/>
    <w:rsid w:val="008A2180"/>
    <w:rsid w:val="008B0C8E"/>
    <w:rsid w:val="008C4D47"/>
    <w:rsid w:val="008C4F40"/>
    <w:rsid w:val="008E1707"/>
    <w:rsid w:val="008E530B"/>
    <w:rsid w:val="008F2FEE"/>
    <w:rsid w:val="008F5497"/>
    <w:rsid w:val="009055C2"/>
    <w:rsid w:val="0090718B"/>
    <w:rsid w:val="00916355"/>
    <w:rsid w:val="00976A49"/>
    <w:rsid w:val="009C5D77"/>
    <w:rsid w:val="009D240F"/>
    <w:rsid w:val="009E3E24"/>
    <w:rsid w:val="009E4D65"/>
    <w:rsid w:val="009F6B98"/>
    <w:rsid w:val="00A273CB"/>
    <w:rsid w:val="00A83A7C"/>
    <w:rsid w:val="00A9722B"/>
    <w:rsid w:val="00A97966"/>
    <w:rsid w:val="00AA3D5F"/>
    <w:rsid w:val="00AA3EDF"/>
    <w:rsid w:val="00AF6FCB"/>
    <w:rsid w:val="00B11123"/>
    <w:rsid w:val="00B23867"/>
    <w:rsid w:val="00B84E87"/>
    <w:rsid w:val="00BE0789"/>
    <w:rsid w:val="00BE2254"/>
    <w:rsid w:val="00C229D5"/>
    <w:rsid w:val="00CD0B42"/>
    <w:rsid w:val="00D207ED"/>
    <w:rsid w:val="00D23493"/>
    <w:rsid w:val="00D53AF3"/>
    <w:rsid w:val="00DA5066"/>
    <w:rsid w:val="00E00CA5"/>
    <w:rsid w:val="00E2035A"/>
    <w:rsid w:val="00E4644A"/>
    <w:rsid w:val="00E53E42"/>
    <w:rsid w:val="00E57020"/>
    <w:rsid w:val="00E641E3"/>
    <w:rsid w:val="00E90F1E"/>
    <w:rsid w:val="00E95538"/>
    <w:rsid w:val="00EA19E3"/>
    <w:rsid w:val="00EA1BCA"/>
    <w:rsid w:val="00EC393B"/>
    <w:rsid w:val="00F37207"/>
    <w:rsid w:val="00F517D1"/>
    <w:rsid w:val="00F91EBE"/>
    <w:rsid w:val="00FA053A"/>
    <w:rsid w:val="00FD0BCC"/>
    <w:rsid w:val="00FF1614"/>
    <w:rsid w:val="00FF1D0A"/>
    <w:rsid w:val="00FF7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9496"/>
  <w15:chartTrackingRefBased/>
  <w15:docId w15:val="{17F96A73-C17D-452E-851D-D4B70F5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94B"/>
    <w:pPr>
      <w:ind w:left="720"/>
      <w:contextualSpacing/>
    </w:pPr>
  </w:style>
  <w:style w:type="character" w:styleId="Hyperlink">
    <w:name w:val="Hyperlink"/>
    <w:basedOn w:val="DefaultParagraphFont"/>
    <w:uiPriority w:val="99"/>
    <w:unhideWhenUsed/>
    <w:rsid w:val="00FF1D0A"/>
    <w:rPr>
      <w:color w:val="0563C1" w:themeColor="hyperlink"/>
      <w:u w:val="single"/>
    </w:rPr>
  </w:style>
  <w:style w:type="character" w:styleId="UnresolvedMention">
    <w:name w:val="Unresolved Mention"/>
    <w:basedOn w:val="DefaultParagraphFont"/>
    <w:uiPriority w:val="99"/>
    <w:semiHidden/>
    <w:unhideWhenUsed/>
    <w:rsid w:val="00FF1D0A"/>
    <w:rPr>
      <w:color w:val="605E5C"/>
      <w:shd w:val="clear" w:color="auto" w:fill="E1DFDD"/>
    </w:rPr>
  </w:style>
  <w:style w:type="paragraph" w:styleId="Header">
    <w:name w:val="header"/>
    <w:basedOn w:val="Normal"/>
    <w:link w:val="HeaderChar"/>
    <w:uiPriority w:val="99"/>
    <w:unhideWhenUsed/>
    <w:rsid w:val="00E53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42"/>
  </w:style>
  <w:style w:type="paragraph" w:styleId="Footer">
    <w:name w:val="footer"/>
    <w:basedOn w:val="Normal"/>
    <w:link w:val="FooterChar"/>
    <w:uiPriority w:val="99"/>
    <w:unhideWhenUsed/>
    <w:rsid w:val="00E53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42"/>
  </w:style>
  <w:style w:type="paragraph" w:styleId="Subtitle">
    <w:name w:val="Subtitle"/>
    <w:basedOn w:val="Normal"/>
    <w:next w:val="Normal"/>
    <w:link w:val="SubtitleChar"/>
    <w:uiPriority w:val="11"/>
    <w:qFormat/>
    <w:rsid w:val="00E53E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3E4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53E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envint.2022.1071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8C7D6-8818-46F7-ACC3-51E7FD13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Haddon Sandefur</dc:creator>
  <cp:keywords/>
  <dc:description/>
  <cp:lastModifiedBy>Scott Sun</cp:lastModifiedBy>
  <cp:revision>113</cp:revision>
  <dcterms:created xsi:type="dcterms:W3CDTF">2022-10-05T16:20:00Z</dcterms:created>
  <dcterms:modified xsi:type="dcterms:W3CDTF">2022-10-11T18:17:00Z</dcterms:modified>
</cp:coreProperties>
</file>