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9425" w:type="dxa"/>
        <w:tblInd w:w="99"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99" w:type="dxa"/>
          <w:bottom w:w="0" w:type="dxa"/>
          <w:right w:w="99" w:type="dxa"/>
        </w:tblCellMar>
      </w:tblPr>
      <w:tblGrid>
        <w:gridCol w:w="1516"/>
        <w:gridCol w:w="839"/>
        <w:gridCol w:w="275"/>
        <w:gridCol w:w="1800"/>
        <w:gridCol w:w="277"/>
        <w:gridCol w:w="1521"/>
        <w:gridCol w:w="1666"/>
        <w:gridCol w:w="1531"/>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99" w:type="dxa"/>
            <w:bottom w:w="0" w:type="dxa"/>
            <w:right w:w="99" w:type="dxa"/>
          </w:tblCellMar>
        </w:tblPrEx>
        <w:trPr>
          <w:trHeight w:val="20" w:hRule="atLeast"/>
        </w:trPr>
        <w:tc>
          <w:tcPr>
            <w:tcW w:w="1516" w:type="dxa"/>
            <w:tcBorders>
              <w:top w:val="single" w:color="auto" w:sz="12" w:space="0"/>
              <w:left w:val="single" w:color="auto" w:sz="12" w:space="0"/>
              <w:bottom w:val="single" w:color="auto" w:sz="4" w:space="0"/>
              <w:right w:val="single" w:color="auto" w:sz="4" w:space="0"/>
            </w:tcBorders>
            <w:shd w:val="clear" w:color="auto" w:fill="auto"/>
            <w:tcMar>
              <w:top w:w="28" w:type="dxa"/>
              <w:bottom w:w="28" w:type="dxa"/>
            </w:tcMar>
          </w:tcPr>
          <w:p>
            <w:pPr>
              <w:jc w:val="center"/>
              <w:rPr>
                <w:rFonts w:ascii="ＭＳ Ｐゴシック" w:eastAsia="ＭＳ Ｐゴシック"/>
                <w:b/>
                <w:sz w:val="24"/>
              </w:rPr>
            </w:pPr>
            <w:r>
              <w:rPr>
                <w:rFonts w:hint="eastAsia" w:ascii="ＭＳ Ｐゴシック" w:eastAsia="ＭＳ Ｐゴシック"/>
                <w:b/>
                <w:sz w:val="24"/>
              </w:rPr>
              <w:br w:type="page"/>
            </w:r>
            <w:r>
              <w:rPr>
                <w:rFonts w:hint="eastAsia" w:ascii="ＭＳ Ｐゴシック" w:eastAsia="ＭＳ Ｐゴシック"/>
                <w:b/>
                <w:sz w:val="24"/>
              </w:rPr>
              <w:t>開講学期</w:t>
            </w:r>
          </w:p>
        </w:tc>
        <w:tc>
          <w:tcPr>
            <w:tcW w:w="1114" w:type="dxa"/>
            <w:gridSpan w:val="2"/>
            <w:tcBorders>
              <w:top w:val="single" w:color="auto" w:sz="12" w:space="0"/>
              <w:left w:val="single" w:color="auto" w:sz="4" w:space="0"/>
              <w:bottom w:val="single" w:color="auto" w:sz="4" w:space="0"/>
              <w:right w:val="nil"/>
            </w:tcBorders>
            <w:shd w:val="clear" w:color="auto" w:fill="auto"/>
          </w:tcPr>
          <w:p>
            <w:pPr>
              <w:jc w:val="center"/>
              <w:rPr>
                <w:rFonts w:ascii="ＭＳ Ｐゴシック" w:eastAsia="ＭＳ Ｐゴシック"/>
                <w:b/>
                <w:sz w:val="24"/>
              </w:rPr>
            </w:pPr>
            <w:r>
              <w:rPr>
                <w:rFonts w:hint="eastAsia" w:ascii="ＭＳ Ｐゴシック" w:eastAsia="ＭＳ Ｐゴシック"/>
                <w:b/>
                <w:sz w:val="24"/>
              </w:rPr>
              <w:t>前期</w:t>
            </w:r>
          </w:p>
        </w:tc>
        <w:tc>
          <w:tcPr>
            <w:tcW w:w="1800" w:type="dxa"/>
            <w:tcBorders>
              <w:top w:val="single" w:color="auto" w:sz="12" w:space="0"/>
              <w:left w:val="single" w:color="auto" w:sz="4" w:space="0"/>
              <w:bottom w:val="single" w:color="auto" w:sz="4" w:space="0"/>
              <w:right w:val="single" w:color="auto" w:sz="4" w:space="0"/>
            </w:tcBorders>
            <w:shd w:val="clear" w:color="auto" w:fill="auto"/>
          </w:tcPr>
          <w:p>
            <w:pPr>
              <w:jc w:val="center"/>
              <w:rPr>
                <w:rFonts w:ascii="ＭＳ Ｐゴシック" w:eastAsia="ＭＳ Ｐゴシック"/>
                <w:b/>
                <w:sz w:val="24"/>
              </w:rPr>
            </w:pPr>
            <w:r>
              <w:rPr>
                <w:rFonts w:hint="eastAsia" w:ascii="ＭＳ Ｐゴシック" w:eastAsia="ＭＳ Ｐゴシック"/>
                <w:b/>
                <w:sz w:val="24"/>
              </w:rPr>
              <w:t>曜日・講時</w:t>
            </w:r>
          </w:p>
        </w:tc>
        <w:tc>
          <w:tcPr>
            <w:tcW w:w="1798" w:type="dxa"/>
            <w:gridSpan w:val="2"/>
            <w:tcBorders>
              <w:top w:val="single" w:color="auto" w:sz="12" w:space="0"/>
              <w:left w:val="single" w:color="auto" w:sz="4" w:space="0"/>
              <w:bottom w:val="single" w:color="auto" w:sz="4" w:space="0"/>
              <w:right w:val="single" w:color="auto" w:sz="4" w:space="0"/>
            </w:tcBorders>
            <w:shd w:val="clear" w:color="auto" w:fill="auto"/>
          </w:tcPr>
          <w:p>
            <w:pPr>
              <w:rPr>
                <w:rFonts w:ascii="ＭＳ Ｐゴシック" w:eastAsia="ＭＳ Ｐゴシック"/>
                <w:b/>
                <w:sz w:val="24"/>
              </w:rPr>
            </w:pPr>
            <w:r>
              <w:rPr>
                <w:rFonts w:hint="eastAsia" w:ascii="ＭＳ Ｐゴシック" w:eastAsia="ＭＳ Ｐゴシック"/>
                <w:b/>
                <w:sz w:val="24"/>
              </w:rPr>
              <w:t>金３・４</w:t>
            </w:r>
          </w:p>
        </w:tc>
        <w:tc>
          <w:tcPr>
            <w:tcW w:w="1666" w:type="dxa"/>
            <w:tcBorders>
              <w:top w:val="single" w:color="auto" w:sz="12" w:space="0"/>
              <w:left w:val="single" w:color="auto" w:sz="4" w:space="0"/>
              <w:bottom w:val="single" w:color="auto" w:sz="4" w:space="0"/>
              <w:right w:val="single" w:color="auto" w:sz="4" w:space="0"/>
            </w:tcBorders>
            <w:shd w:val="clear" w:color="auto" w:fill="auto"/>
          </w:tcPr>
          <w:p>
            <w:pPr>
              <w:rPr>
                <w:rFonts w:ascii="ＭＳ Ｐゴシック" w:eastAsia="ＭＳ Ｐゴシック"/>
                <w:b/>
                <w:sz w:val="24"/>
              </w:rPr>
            </w:pPr>
            <w:r>
              <w:rPr>
                <w:rFonts w:hint="eastAsia" w:ascii="ＭＳ Ｐゴシック" w:eastAsia="ＭＳ Ｐゴシック"/>
                <w:b/>
                <w:sz w:val="24"/>
              </w:rPr>
              <w:t>時間割番号</w:t>
            </w:r>
          </w:p>
        </w:tc>
        <w:tc>
          <w:tcPr>
            <w:tcW w:w="1531" w:type="dxa"/>
            <w:tcBorders>
              <w:top w:val="single" w:color="auto" w:sz="12" w:space="0"/>
              <w:left w:val="single" w:color="auto" w:sz="4" w:space="0"/>
              <w:bottom w:val="single" w:color="auto" w:sz="4" w:space="0"/>
              <w:right w:val="single" w:color="auto" w:sz="12" w:space="0"/>
            </w:tcBorders>
            <w:shd w:val="clear" w:color="auto" w:fill="auto"/>
          </w:tcPr>
          <w:p>
            <w:pPr>
              <w:rPr>
                <w:rFonts w:ascii="ＭＳ Ｐゴシック" w:eastAsia="ＭＳ Ｐゴシック"/>
                <w:b/>
                <w:sz w:val="24"/>
              </w:rPr>
            </w:pPr>
            <w:r>
              <w:rPr>
                <w:rFonts w:ascii="ＭＳ Ｐゴシック" w:eastAsia="ＭＳ Ｐゴシック"/>
                <w:b/>
                <w:sz w:val="24"/>
              </w:rPr>
              <w:t>0012456</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99" w:type="dxa"/>
            <w:bottom w:w="0" w:type="dxa"/>
            <w:right w:w="99" w:type="dxa"/>
          </w:tblCellMar>
        </w:tblPrEx>
        <w:trPr>
          <w:trHeight w:val="20" w:hRule="atLeast"/>
        </w:trPr>
        <w:tc>
          <w:tcPr>
            <w:tcW w:w="1516" w:type="dxa"/>
            <w:tcBorders>
              <w:top w:val="single" w:color="auto" w:sz="4" w:space="0"/>
              <w:left w:val="single" w:color="auto" w:sz="12" w:space="0"/>
              <w:bottom w:val="single" w:color="auto" w:sz="4" w:space="0"/>
              <w:right w:val="single" w:color="auto" w:sz="4" w:space="0"/>
            </w:tcBorders>
            <w:shd w:val="clear" w:color="auto" w:fill="auto"/>
            <w:tcMar>
              <w:top w:w="28" w:type="dxa"/>
              <w:bottom w:w="28" w:type="dxa"/>
            </w:tcMar>
          </w:tcPr>
          <w:p>
            <w:pPr>
              <w:jc w:val="center"/>
              <w:rPr>
                <w:rFonts w:ascii="ＭＳ Ｐゴシック" w:eastAsia="ＭＳ Ｐゴシック"/>
                <w:b/>
                <w:sz w:val="24"/>
              </w:rPr>
            </w:pPr>
            <w:r>
              <w:rPr>
                <w:rFonts w:hint="eastAsia" w:ascii="ＭＳ Ｐゴシック" w:eastAsia="ＭＳ Ｐゴシック"/>
                <w:b/>
                <w:sz w:val="24"/>
              </w:rPr>
              <w:t>科目分野</w:t>
            </w:r>
          </w:p>
        </w:tc>
        <w:tc>
          <w:tcPr>
            <w:tcW w:w="7909" w:type="dxa"/>
            <w:gridSpan w:val="7"/>
            <w:tcBorders>
              <w:top w:val="single" w:color="auto" w:sz="4" w:space="0"/>
              <w:left w:val="single" w:color="auto" w:sz="4" w:space="0"/>
              <w:bottom w:val="single" w:color="auto" w:sz="4" w:space="0"/>
              <w:right w:val="single" w:color="auto" w:sz="12" w:space="0"/>
            </w:tcBorders>
            <w:shd w:val="clear" w:color="auto" w:fill="auto"/>
          </w:tcPr>
          <w:p>
            <w:pPr>
              <w:jc w:val="left"/>
              <w:rPr>
                <w:rFonts w:ascii="ＭＳ Ｐ明朝" w:hAnsi="ＭＳ Ｐ明朝" w:eastAsia="ＭＳ Ｐ明朝"/>
                <w:sz w:val="24"/>
              </w:rPr>
            </w:pPr>
            <w:r>
              <w:rPr>
                <w:rFonts w:hint="eastAsia" w:ascii="メイリオ" w:hAnsi="メイリオ" w:eastAsia="メイリオ" w:cs="メイリオ"/>
                <w:color w:val="262626"/>
              </w:rPr>
              <w:t>外国語教育科目群・英語・基盤英語</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99" w:type="dxa"/>
            <w:bottom w:w="0" w:type="dxa"/>
            <w:right w:w="99" w:type="dxa"/>
          </w:tblCellMar>
        </w:tblPrEx>
        <w:trPr>
          <w:trHeight w:val="20" w:hRule="atLeast"/>
        </w:trPr>
        <w:tc>
          <w:tcPr>
            <w:tcW w:w="1516" w:type="dxa"/>
            <w:tcBorders>
              <w:top w:val="single" w:color="auto" w:sz="4" w:space="0"/>
              <w:left w:val="single" w:color="auto" w:sz="12" w:space="0"/>
              <w:bottom w:val="single" w:color="auto" w:sz="4" w:space="0"/>
              <w:right w:val="single" w:color="auto" w:sz="4" w:space="0"/>
            </w:tcBorders>
            <w:shd w:val="clear" w:color="auto" w:fill="auto"/>
            <w:tcMar>
              <w:top w:w="28" w:type="dxa"/>
              <w:bottom w:w="28" w:type="dxa"/>
            </w:tcMar>
          </w:tcPr>
          <w:p>
            <w:pPr>
              <w:jc w:val="center"/>
              <w:rPr>
                <w:rFonts w:ascii="ＭＳ Ｐゴシック" w:eastAsia="ＭＳ Ｐゴシック"/>
                <w:b/>
                <w:sz w:val="24"/>
              </w:rPr>
            </w:pPr>
            <w:r>
              <w:rPr>
                <w:rFonts w:hint="eastAsia" w:ascii="ＭＳ Ｐゴシック" w:eastAsia="ＭＳ Ｐゴシック"/>
                <w:b/>
                <w:sz w:val="24"/>
              </w:rPr>
              <w:t>科目名</w:t>
            </w:r>
          </w:p>
        </w:tc>
        <w:tc>
          <w:tcPr>
            <w:tcW w:w="7909" w:type="dxa"/>
            <w:gridSpan w:val="7"/>
            <w:tcBorders>
              <w:top w:val="single" w:color="auto" w:sz="4" w:space="0"/>
              <w:left w:val="single" w:color="auto" w:sz="4" w:space="0"/>
              <w:bottom w:val="single" w:color="auto" w:sz="4" w:space="0"/>
              <w:right w:val="single" w:color="auto" w:sz="12" w:space="0"/>
            </w:tcBorders>
            <w:shd w:val="clear" w:color="auto" w:fill="auto"/>
          </w:tcPr>
          <w:p>
            <w:pPr>
              <w:pStyle w:val="2"/>
              <w:jc w:val="left"/>
              <w:rPr>
                <w:rFonts w:ascii="ＭＳ Ｐ明朝" w:hAnsi="ＭＳ Ｐ明朝" w:eastAsia="ＭＳ Ｐ明朝"/>
              </w:rPr>
            </w:pPr>
            <w:r>
              <w:rPr>
                <w:rFonts w:hint="eastAsia" w:ascii="メイリオ" w:hAnsi="メイリオ" w:eastAsia="メイリオ" w:cs="メイリオ"/>
                <w:color w:val="262626"/>
                <w:sz w:val="28"/>
                <w:szCs w:val="28"/>
              </w:rPr>
              <w:t>基盤英語　Basic English</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99" w:type="dxa"/>
            <w:bottom w:w="0" w:type="dxa"/>
            <w:right w:w="99" w:type="dxa"/>
          </w:tblCellMar>
        </w:tblPrEx>
        <w:trPr>
          <w:trHeight w:val="20" w:hRule="atLeast"/>
        </w:trPr>
        <w:tc>
          <w:tcPr>
            <w:tcW w:w="1516" w:type="dxa"/>
            <w:tcBorders>
              <w:top w:val="single" w:color="auto" w:sz="4" w:space="0"/>
              <w:left w:val="single" w:color="auto" w:sz="12" w:space="0"/>
              <w:bottom w:val="single" w:color="auto" w:sz="4" w:space="0"/>
              <w:right w:val="single" w:color="auto" w:sz="4" w:space="0"/>
            </w:tcBorders>
            <w:shd w:val="clear" w:color="auto" w:fill="auto"/>
            <w:tcMar>
              <w:top w:w="28" w:type="dxa"/>
              <w:bottom w:w="28" w:type="dxa"/>
            </w:tcMar>
          </w:tcPr>
          <w:p>
            <w:pPr>
              <w:jc w:val="center"/>
              <w:rPr>
                <w:rFonts w:ascii="ＭＳ Ｐゴシック" w:eastAsia="ＭＳ Ｐゴシック"/>
                <w:b/>
                <w:sz w:val="24"/>
              </w:rPr>
            </w:pPr>
            <w:r>
              <w:rPr>
                <w:rFonts w:hint="eastAsia" w:ascii="ＭＳ Ｐゴシック" w:eastAsia="ＭＳ Ｐゴシック"/>
                <w:b/>
                <w:sz w:val="24"/>
              </w:rPr>
              <w:t>担当教員</w:t>
            </w:r>
          </w:p>
        </w:tc>
        <w:tc>
          <w:tcPr>
            <w:tcW w:w="7909" w:type="dxa"/>
            <w:gridSpan w:val="7"/>
            <w:tcBorders>
              <w:top w:val="single" w:color="auto" w:sz="4" w:space="0"/>
              <w:left w:val="single" w:color="auto" w:sz="4" w:space="0"/>
              <w:bottom w:val="single" w:color="auto" w:sz="4" w:space="0"/>
              <w:right w:val="single" w:color="auto" w:sz="12" w:space="0"/>
            </w:tcBorders>
            <w:shd w:val="clear" w:color="auto" w:fill="auto"/>
          </w:tcPr>
          <w:p>
            <w:pPr>
              <w:jc w:val="left"/>
              <w:rPr>
                <w:rFonts w:asciiTheme="minorEastAsia" w:hAnsiTheme="minorEastAsia" w:eastAsiaTheme="minorEastAsia"/>
                <w:sz w:val="18"/>
                <w:szCs w:val="18"/>
              </w:rPr>
            </w:pPr>
            <w:r>
              <w:rPr>
                <w:rFonts w:hint="eastAsia" w:ascii="メイリオ" w:hAnsi="メイリオ" w:eastAsia="メイリオ" w:cs="メイリオ"/>
                <w:color w:val="262626"/>
              </w:rPr>
              <w:t>Trevor Mearns　</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99" w:type="dxa"/>
            <w:bottom w:w="0" w:type="dxa"/>
            <w:right w:w="99" w:type="dxa"/>
          </w:tblCellMar>
        </w:tblPrEx>
        <w:trPr>
          <w:trHeight w:val="20" w:hRule="atLeast"/>
        </w:trPr>
        <w:tc>
          <w:tcPr>
            <w:tcW w:w="1516" w:type="dxa"/>
            <w:tcBorders>
              <w:left w:val="single" w:color="auto" w:sz="12" w:space="0"/>
              <w:bottom w:val="nil"/>
            </w:tcBorders>
            <w:shd w:val="clear" w:color="auto" w:fill="auto"/>
            <w:tcMar>
              <w:top w:w="28" w:type="dxa"/>
              <w:bottom w:w="28" w:type="dxa"/>
            </w:tcMar>
          </w:tcPr>
          <w:p>
            <w:pPr>
              <w:jc w:val="center"/>
              <w:rPr>
                <w:rFonts w:ascii="ＭＳ Ｐゴシック" w:eastAsia="ＭＳ Ｐゴシック"/>
                <w:b/>
                <w:sz w:val="24"/>
              </w:rPr>
            </w:pPr>
            <w:r>
              <w:rPr>
                <w:rFonts w:hint="eastAsia" w:ascii="ＭＳ Ｐゴシック" w:eastAsia="ＭＳ Ｐゴシック"/>
                <w:b/>
                <w:sz w:val="24"/>
              </w:rPr>
              <w:t>単位数</w:t>
            </w:r>
          </w:p>
        </w:tc>
        <w:tc>
          <w:tcPr>
            <w:tcW w:w="839" w:type="dxa"/>
            <w:tcBorders>
              <w:left w:val="single" w:color="auto" w:sz="4" w:space="0"/>
              <w:bottom w:val="single" w:color="auto" w:sz="4" w:space="0"/>
              <w:right w:val="single" w:color="auto" w:sz="4" w:space="0"/>
            </w:tcBorders>
            <w:shd w:val="clear" w:color="auto" w:fill="auto"/>
            <w:tcMar>
              <w:top w:w="28" w:type="dxa"/>
              <w:bottom w:w="28" w:type="dxa"/>
            </w:tcMar>
          </w:tcPr>
          <w:p>
            <w:pPr>
              <w:jc w:val="center"/>
              <w:rPr>
                <w:rFonts w:ascii="ＭＳ Ｐゴシック" w:eastAsia="ＭＳ Ｐゴシック"/>
                <w:b/>
                <w:sz w:val="24"/>
              </w:rPr>
            </w:pPr>
            <w:r>
              <w:rPr>
                <w:rFonts w:hint="eastAsia" w:ascii="ＭＳ Ｐゴシック" w:eastAsia="ＭＳ Ｐゴシック"/>
                <w:b/>
                <w:sz w:val="24"/>
              </w:rPr>
              <w:t>1</w:t>
            </w:r>
          </w:p>
        </w:tc>
        <w:tc>
          <w:tcPr>
            <w:tcW w:w="2352" w:type="dxa"/>
            <w:gridSpan w:val="3"/>
            <w:tcBorders>
              <w:bottom w:val="single" w:color="auto" w:sz="4" w:space="0"/>
            </w:tcBorders>
            <w:shd w:val="clear" w:color="auto" w:fill="auto"/>
            <w:tcMar>
              <w:top w:w="28" w:type="dxa"/>
              <w:bottom w:w="28" w:type="dxa"/>
            </w:tcMar>
          </w:tcPr>
          <w:p>
            <w:pPr>
              <w:jc w:val="center"/>
              <w:rPr>
                <w:rFonts w:ascii="ＭＳ Ｐゴシック" w:eastAsia="ＭＳ Ｐゴシック"/>
                <w:b/>
                <w:sz w:val="24"/>
              </w:rPr>
            </w:pPr>
            <w:r>
              <w:rPr>
                <w:rFonts w:hint="eastAsia" w:ascii="ＭＳ Ｐゴシック" w:eastAsia="ＭＳ Ｐゴシック"/>
                <w:b/>
                <w:sz w:val="24"/>
              </w:rPr>
              <w:t>対象学生・年次</w:t>
            </w:r>
          </w:p>
        </w:tc>
        <w:tc>
          <w:tcPr>
            <w:tcW w:w="4718" w:type="dxa"/>
            <w:gridSpan w:val="3"/>
            <w:tcBorders>
              <w:left w:val="single" w:color="auto" w:sz="4" w:space="0"/>
              <w:bottom w:val="single" w:color="auto" w:sz="4" w:space="0"/>
              <w:right w:val="single" w:color="auto" w:sz="12" w:space="0"/>
            </w:tcBorders>
            <w:shd w:val="clear" w:color="auto" w:fill="auto"/>
            <w:tcMar>
              <w:top w:w="28" w:type="dxa"/>
              <w:bottom w:w="28" w:type="dxa"/>
            </w:tcMar>
          </w:tcPr>
          <w:p>
            <w:pPr>
              <w:jc w:val="center"/>
              <w:rPr>
                <w:rFonts w:ascii="ＭＳ Ｐゴシック" w:eastAsia="ＭＳ Ｐゴシック"/>
                <w:b/>
                <w:sz w:val="24"/>
              </w:rPr>
            </w:pPr>
            <w:r>
              <w:rPr>
                <w:rFonts w:hint="eastAsia" w:ascii="ＭＳ Ｐゴシック" w:eastAsia="ＭＳ Ｐゴシック"/>
                <w:b/>
                <w:sz w:val="24"/>
              </w:rPr>
              <w:t>理工(情光)１年</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99" w:type="dxa"/>
            <w:bottom w:w="0" w:type="dxa"/>
            <w:right w:w="99" w:type="dxa"/>
          </w:tblCellMar>
        </w:tblPrEx>
        <w:trPr>
          <w:trHeight w:val="20" w:hRule="atLeast"/>
        </w:trPr>
        <w:tc>
          <w:tcPr>
            <w:tcW w:w="9425" w:type="dxa"/>
            <w:gridSpan w:val="8"/>
            <w:tcBorders>
              <w:top w:val="single" w:color="auto" w:sz="12" w:space="0"/>
              <w:left w:val="single" w:color="auto" w:sz="12" w:space="0"/>
              <w:bottom w:val="single" w:color="auto" w:sz="4" w:space="0"/>
              <w:right w:val="single" w:color="auto" w:sz="12" w:space="0"/>
            </w:tcBorders>
            <w:shd w:val="clear" w:color="auto" w:fill="auto"/>
            <w:tcMar>
              <w:top w:w="28" w:type="dxa"/>
              <w:bottom w:w="28" w:type="dxa"/>
            </w:tcMar>
          </w:tcPr>
          <w:p>
            <w:pPr>
              <w:jc w:val="left"/>
              <w:rPr>
                <w:rFonts w:ascii="ＭＳ Ｐゴシック" w:eastAsia="ＭＳ Ｐゴシック"/>
                <w:b/>
                <w:sz w:val="24"/>
              </w:rPr>
            </w:pPr>
            <w:r>
              <w:rPr>
                <w:rFonts w:hint="eastAsia" w:ascii="ＭＳ Ｐゴシック" w:eastAsia="ＭＳ Ｐゴシック"/>
                <w:b/>
                <w:sz w:val="24"/>
              </w:rPr>
              <w:t>授業の目的</w:t>
            </w:r>
          </w:p>
          <w:p>
            <w:pPr>
              <w:keepNext w:val="0"/>
              <w:keepLines w:val="0"/>
              <w:widowControl/>
              <w:suppressLineNumbers w:val="0"/>
              <w:spacing w:before="0" w:beforeAutospacing="0" w:after="0" w:afterAutospacing="0"/>
              <w:ind w:left="0" w:right="0" w:firstLine="0"/>
              <w:jc w:val="left"/>
              <w:rPr>
                <w:rFonts w:ascii="Century" w:hAnsi="Century" w:eastAsia="Century" w:cs="Century"/>
                <w:i w:val="0"/>
                <w:caps w:val="0"/>
                <w:color w:val="222222"/>
                <w:spacing w:val="0"/>
                <w:sz w:val="21"/>
                <w:szCs w:val="21"/>
              </w:rPr>
            </w:pPr>
            <w:r>
              <w:rPr>
                <w:rFonts w:ascii="Arial" w:hAnsi="Arial" w:eastAsia="Century" w:cs="Arial"/>
                <w:i w:val="0"/>
                <w:caps w:val="0"/>
                <w:color w:val="222222"/>
                <w:spacing w:val="0"/>
                <w:kern w:val="0"/>
                <w:sz w:val="26"/>
                <w:szCs w:val="26"/>
                <w:lang w:val="en-US" w:eastAsia="zh-CN" w:bidi="ar"/>
              </w:rPr>
              <w:t>For students to build upon their English skills attained in the first year of university and to develop greater confidence and ability in conversational skills. By the end of this course students should expect to have made significant progress toward having:</w:t>
            </w:r>
          </w:p>
          <w:p>
            <w:pPr>
              <w:pStyle w:val="3"/>
              <w:keepNext w:val="0"/>
              <w:keepLines w:val="0"/>
              <w:widowControl/>
              <w:suppressLineNumbers w:val="0"/>
              <w:spacing w:before="0" w:beforeAutospacing="1" w:after="0" w:afterAutospacing="1"/>
              <w:ind w:left="720" w:right="0" w:firstLine="0"/>
              <w:rPr>
                <w:rFonts w:hint="default" w:ascii="Century" w:hAnsi="Century" w:eastAsia="Century" w:cs="Century"/>
                <w:i w:val="0"/>
                <w:caps w:val="0"/>
                <w:color w:val="222222"/>
                <w:spacing w:val="0"/>
                <w:sz w:val="21"/>
                <w:szCs w:val="21"/>
              </w:rPr>
            </w:pPr>
            <w:r>
              <w:rPr>
                <w:rFonts w:ascii="ＭＳ Ｐゴシック" w:hAnsi="ＭＳ Ｐゴシック" w:eastAsia="ＭＳ Ｐゴシック" w:cs="ＭＳ Ｐゴシック"/>
                <w:i w:val="0"/>
                <w:caps w:val="0"/>
                <w:color w:val="222222"/>
                <w:spacing w:val="0"/>
                <w:sz w:val="26"/>
                <w:szCs w:val="26"/>
              </w:rPr>
              <w:t>・ </w:t>
            </w:r>
            <w:r>
              <w:rPr>
                <w:rFonts w:hint="default" w:ascii="Arial" w:hAnsi="Arial" w:eastAsia="Century" w:cs="Arial"/>
                <w:i w:val="0"/>
                <w:caps w:val="0"/>
                <w:color w:val="222222"/>
                <w:spacing w:val="0"/>
                <w:sz w:val="26"/>
                <w:szCs w:val="26"/>
              </w:rPr>
              <w:t>A more mature vocabulary for naturally expressing feelings, opinions, problems, activities and goals in the context of daily conversation.</w:t>
            </w:r>
          </w:p>
          <w:p>
            <w:pPr>
              <w:pStyle w:val="3"/>
              <w:keepNext w:val="0"/>
              <w:keepLines w:val="0"/>
              <w:widowControl/>
              <w:suppressLineNumbers w:val="0"/>
              <w:spacing w:before="0" w:beforeAutospacing="1" w:after="0" w:afterAutospacing="1"/>
              <w:ind w:left="720" w:right="0" w:firstLine="0"/>
              <w:rPr>
                <w:rFonts w:hint="default" w:ascii="Century" w:hAnsi="Century" w:eastAsia="Century" w:cs="Century"/>
                <w:i w:val="0"/>
                <w:caps w:val="0"/>
                <w:color w:val="222222"/>
                <w:spacing w:val="0"/>
                <w:sz w:val="21"/>
                <w:szCs w:val="21"/>
              </w:rPr>
            </w:pPr>
            <w:r>
              <w:rPr>
                <w:rFonts w:hint="eastAsia" w:ascii="ＭＳ Ｐゴシック" w:hAnsi="ＭＳ Ｐゴシック" w:eastAsia="ＭＳ Ｐゴシック" w:cs="ＭＳ Ｐゴシック"/>
                <w:i w:val="0"/>
                <w:caps w:val="0"/>
                <w:color w:val="222222"/>
                <w:spacing w:val="0"/>
                <w:sz w:val="26"/>
                <w:szCs w:val="26"/>
              </w:rPr>
              <w:t>・ </w:t>
            </w:r>
            <w:r>
              <w:rPr>
                <w:rFonts w:hint="default" w:ascii="Arial" w:hAnsi="Arial" w:eastAsia="Century" w:cs="Arial"/>
                <w:i w:val="0"/>
                <w:caps w:val="0"/>
                <w:color w:val="222222"/>
                <w:spacing w:val="0"/>
                <w:sz w:val="26"/>
                <w:szCs w:val="26"/>
              </w:rPr>
              <w:t>A stronger grasp of English grammar and different verb tenses including: tag questions, various conditional sentence structures, past continuous vs. past simple, present perfect tense, modal auxiliary verbs and how to accurately express events and plans in the future.</w:t>
            </w:r>
          </w:p>
          <w:p>
            <w:pPr>
              <w:pStyle w:val="3"/>
              <w:keepNext w:val="0"/>
              <w:keepLines w:val="0"/>
              <w:widowControl/>
              <w:suppressLineNumbers w:val="0"/>
              <w:spacing w:before="0" w:beforeAutospacing="1" w:after="0" w:afterAutospacing="1"/>
              <w:ind w:left="720" w:right="0" w:firstLine="0"/>
              <w:rPr>
                <w:rFonts w:hint="default" w:ascii="Century" w:hAnsi="Century" w:eastAsia="Century" w:cs="Century"/>
                <w:i w:val="0"/>
                <w:caps w:val="0"/>
                <w:color w:val="222222"/>
                <w:spacing w:val="0"/>
                <w:sz w:val="21"/>
                <w:szCs w:val="21"/>
              </w:rPr>
            </w:pPr>
            <w:r>
              <w:rPr>
                <w:rFonts w:hint="eastAsia" w:ascii="ＭＳ Ｐゴシック" w:hAnsi="ＭＳ Ｐゴシック" w:eastAsia="ＭＳ Ｐゴシック" w:cs="ＭＳ Ｐゴシック"/>
                <w:i w:val="0"/>
                <w:caps w:val="0"/>
                <w:color w:val="222222"/>
                <w:spacing w:val="0"/>
                <w:sz w:val="26"/>
                <w:szCs w:val="26"/>
              </w:rPr>
              <w:t>・ </w:t>
            </w:r>
            <w:r>
              <w:rPr>
                <w:rFonts w:hint="default" w:ascii="Arial" w:hAnsi="Arial" w:eastAsia="Century" w:cs="Arial"/>
                <w:i w:val="0"/>
                <w:caps w:val="0"/>
                <w:color w:val="222222"/>
                <w:spacing w:val="0"/>
                <w:sz w:val="26"/>
                <w:szCs w:val="26"/>
              </w:rPr>
              <w:t>Increased listening ability with various accents spoken at or near native speed.</w:t>
            </w:r>
          </w:p>
          <w:p>
            <w:pPr>
              <w:pStyle w:val="3"/>
              <w:keepNext w:val="0"/>
              <w:keepLines w:val="0"/>
              <w:widowControl/>
              <w:suppressLineNumbers w:val="0"/>
              <w:spacing w:before="0" w:beforeAutospacing="1" w:after="0" w:afterAutospacing="1"/>
              <w:ind w:left="720" w:right="0" w:firstLine="0"/>
              <w:rPr>
                <w:rFonts w:hint="default" w:ascii="Century" w:hAnsi="Century" w:eastAsia="Century" w:cs="Century"/>
                <w:i w:val="0"/>
                <w:caps w:val="0"/>
                <w:color w:val="222222"/>
                <w:spacing w:val="0"/>
                <w:sz w:val="21"/>
                <w:szCs w:val="21"/>
              </w:rPr>
            </w:pPr>
            <w:r>
              <w:rPr>
                <w:rFonts w:hint="eastAsia" w:ascii="ＭＳ Ｐゴシック" w:hAnsi="ＭＳ Ｐゴシック" w:eastAsia="ＭＳ Ｐゴシック" w:cs="ＭＳ Ｐゴシック"/>
                <w:i w:val="0"/>
                <w:caps w:val="0"/>
                <w:color w:val="222222"/>
                <w:spacing w:val="0"/>
                <w:sz w:val="26"/>
                <w:szCs w:val="26"/>
              </w:rPr>
              <w:t>・ </w:t>
            </w:r>
            <w:r>
              <w:rPr>
                <w:rFonts w:hint="default" w:ascii="Arial" w:hAnsi="Arial" w:eastAsia="Century" w:cs="Arial"/>
                <w:i w:val="0"/>
                <w:caps w:val="0"/>
                <w:color w:val="222222"/>
                <w:spacing w:val="0"/>
                <w:sz w:val="26"/>
                <w:szCs w:val="26"/>
              </w:rPr>
              <w:t>Better ability to structure cause and effect in storytelling</w:t>
            </w:r>
          </w:p>
          <w:p>
            <w:pPr>
              <w:pStyle w:val="3"/>
              <w:keepNext w:val="0"/>
              <w:keepLines w:val="0"/>
              <w:widowControl/>
              <w:suppressLineNumbers w:val="0"/>
              <w:spacing w:before="0" w:beforeAutospacing="1" w:after="0" w:afterAutospacing="1"/>
              <w:ind w:left="720" w:right="0" w:firstLine="0"/>
              <w:rPr>
                <w:rFonts w:hint="default" w:ascii="Century" w:hAnsi="Century" w:eastAsia="Century" w:cs="Century"/>
                <w:i w:val="0"/>
                <w:caps w:val="0"/>
                <w:color w:val="222222"/>
                <w:spacing w:val="0"/>
                <w:sz w:val="21"/>
                <w:szCs w:val="21"/>
              </w:rPr>
            </w:pPr>
            <w:r>
              <w:rPr>
                <w:rFonts w:hint="eastAsia" w:ascii="ＭＳ Ｐゴシック" w:hAnsi="ＭＳ Ｐゴシック" w:eastAsia="ＭＳ Ｐゴシック" w:cs="ＭＳ Ｐゴシック"/>
                <w:i w:val="0"/>
                <w:caps w:val="0"/>
                <w:color w:val="222222"/>
                <w:spacing w:val="0"/>
                <w:sz w:val="26"/>
                <w:szCs w:val="26"/>
              </w:rPr>
              <w:t>・ </w:t>
            </w:r>
            <w:r>
              <w:rPr>
                <w:rFonts w:hint="default" w:ascii="Arial" w:hAnsi="Arial" w:eastAsia="Century" w:cs="Arial"/>
                <w:i w:val="0"/>
                <w:caps w:val="0"/>
                <w:color w:val="222222"/>
                <w:spacing w:val="0"/>
                <w:sz w:val="26"/>
                <w:szCs w:val="26"/>
              </w:rPr>
              <w:t>Better overall cultural awareness and understanding of the core elements that make up different people’s perspective.</w:t>
            </w:r>
          </w:p>
          <w:p>
            <w:pPr>
              <w:pStyle w:val="3"/>
              <w:keepNext w:val="0"/>
              <w:keepLines w:val="0"/>
              <w:widowControl/>
              <w:suppressLineNumbers w:val="0"/>
              <w:spacing w:before="0" w:beforeAutospacing="1" w:after="0" w:afterAutospacing="1"/>
              <w:ind w:left="720" w:right="0" w:firstLine="0"/>
              <w:rPr>
                <w:rFonts w:hint="default" w:ascii="Century" w:hAnsi="Century" w:eastAsia="Century" w:cs="Century"/>
                <w:i w:val="0"/>
                <w:caps w:val="0"/>
                <w:color w:val="222222"/>
                <w:spacing w:val="0"/>
                <w:sz w:val="21"/>
                <w:szCs w:val="21"/>
              </w:rPr>
            </w:pPr>
            <w:r>
              <w:rPr>
                <w:rFonts w:hint="eastAsia" w:ascii="ＭＳ Ｐゴシック" w:hAnsi="ＭＳ Ｐゴシック" w:eastAsia="ＭＳ Ｐゴシック" w:cs="ＭＳ Ｐゴシック"/>
                <w:i w:val="0"/>
                <w:caps w:val="0"/>
                <w:color w:val="222222"/>
                <w:spacing w:val="0"/>
                <w:sz w:val="26"/>
                <w:szCs w:val="26"/>
              </w:rPr>
              <w:t>・ </w:t>
            </w:r>
            <w:r>
              <w:rPr>
                <w:rFonts w:hint="default" w:ascii="Arial" w:hAnsi="Arial" w:eastAsia="Century" w:cs="Arial"/>
                <w:i w:val="0"/>
                <w:caps w:val="0"/>
                <w:color w:val="222222"/>
                <w:spacing w:val="0"/>
                <w:sz w:val="26"/>
                <w:szCs w:val="26"/>
              </w:rPr>
              <w:t>Increased ability to hold a conversation in English concerning a variety of different topics concerning daily life and one’s culture.</w:t>
            </w:r>
          </w:p>
          <w:p>
            <w:pPr>
              <w:jc w:val="left"/>
              <w:rPr>
                <w:rFonts w:asciiTheme="minorEastAsia" w:hAnsiTheme="minorEastAsia" w:eastAsiaTheme="minorEastAsia"/>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99" w:type="dxa"/>
            <w:bottom w:w="0" w:type="dxa"/>
            <w:right w:w="99" w:type="dxa"/>
          </w:tblCellMar>
        </w:tblPrEx>
        <w:trPr>
          <w:trHeight w:val="20" w:hRule="atLeast"/>
        </w:trPr>
        <w:tc>
          <w:tcPr>
            <w:tcW w:w="9425" w:type="dxa"/>
            <w:gridSpan w:val="8"/>
            <w:tcBorders>
              <w:top w:val="nil"/>
              <w:left w:val="single" w:color="auto" w:sz="12" w:space="0"/>
              <w:bottom w:val="single" w:color="auto" w:sz="4" w:space="0"/>
              <w:right w:val="single" w:color="auto" w:sz="12" w:space="0"/>
            </w:tcBorders>
            <w:shd w:val="clear" w:color="auto" w:fill="auto"/>
            <w:tcMar>
              <w:top w:w="28" w:type="dxa"/>
              <w:bottom w:w="28" w:type="dxa"/>
            </w:tcMar>
          </w:tcPr>
          <w:p>
            <w:pPr>
              <w:jc w:val="left"/>
              <w:rPr>
                <w:rFonts w:ascii="ＭＳ Ｐゴシック" w:eastAsia="ＭＳ Ｐゴシック"/>
                <w:b/>
                <w:sz w:val="24"/>
              </w:rPr>
            </w:pPr>
            <w:r>
              <w:rPr>
                <w:rFonts w:hint="eastAsia" w:ascii="ＭＳ Ｐゴシック" w:eastAsia="ＭＳ Ｐゴシック"/>
                <w:b/>
                <w:sz w:val="24"/>
              </w:rPr>
              <w:t>授業の概要</w:t>
            </w:r>
          </w:p>
          <w:p>
            <w:pPr>
              <w:keepNext w:val="0"/>
              <w:keepLines w:val="0"/>
              <w:widowControl/>
              <w:suppressLineNumbers w:val="0"/>
              <w:spacing w:before="0" w:beforeAutospacing="0" w:after="0" w:afterAutospacing="0"/>
              <w:ind w:left="0" w:right="0" w:firstLine="0"/>
              <w:jc w:val="left"/>
              <w:rPr>
                <w:rFonts w:ascii="Arial" w:hAnsi="Arial" w:eastAsia="Century" w:cs="Arial"/>
                <w:i w:val="0"/>
                <w:caps w:val="0"/>
                <w:color w:val="222222"/>
                <w:spacing w:val="0"/>
                <w:kern w:val="0"/>
                <w:sz w:val="26"/>
                <w:szCs w:val="26"/>
                <w:lang w:val="en-US" w:eastAsia="zh-CN" w:bidi="ar"/>
              </w:rPr>
            </w:pPr>
            <w:r>
              <w:rPr>
                <w:rFonts w:ascii="Arial" w:hAnsi="Arial" w:eastAsia="Century" w:cs="Arial"/>
                <w:i w:val="0"/>
                <w:caps w:val="0"/>
                <w:color w:val="222222"/>
                <w:spacing w:val="0"/>
                <w:kern w:val="0"/>
                <w:sz w:val="26"/>
                <w:szCs w:val="26"/>
                <w:lang w:val="en-US" w:eastAsia="zh-CN" w:bidi="ar"/>
              </w:rPr>
              <w:t xml:space="preserve">The course will focus largely on the development of conversational skill based on a variety of both every day and more specialized topics. The textbook used, English Firsthand </w:t>
            </w:r>
            <w:r>
              <w:rPr>
                <w:rFonts w:hint="eastAsia" w:ascii="Arial" w:hAnsi="Arial" w:cs="Arial"/>
                <w:i w:val="0"/>
                <w:caps w:val="0"/>
                <w:color w:val="222222"/>
                <w:spacing w:val="0"/>
                <w:kern w:val="0"/>
                <w:sz w:val="26"/>
                <w:szCs w:val="26"/>
                <w:lang w:val="en-US" w:eastAsia="ja-JP" w:bidi="ar"/>
              </w:rPr>
              <w:t>1</w:t>
            </w:r>
            <w:r>
              <w:rPr>
                <w:rFonts w:ascii="Arial" w:hAnsi="Arial" w:eastAsia="Century" w:cs="Arial"/>
                <w:i w:val="0"/>
                <w:caps w:val="0"/>
                <w:color w:val="222222"/>
                <w:spacing w:val="0"/>
                <w:kern w:val="0"/>
                <w:sz w:val="26"/>
                <w:szCs w:val="26"/>
                <w:lang w:val="en-US" w:eastAsia="zh-CN" w:bidi="ar"/>
              </w:rPr>
              <w:t>, will start at an intermediate</w:t>
            </w:r>
            <w:r>
              <w:rPr>
                <w:rFonts w:hint="eastAsia" w:ascii="Arial" w:hAnsi="Arial" w:cs="Arial"/>
                <w:i w:val="0"/>
                <w:caps w:val="0"/>
                <w:color w:val="222222"/>
                <w:spacing w:val="0"/>
                <w:kern w:val="0"/>
                <w:sz w:val="26"/>
                <w:szCs w:val="26"/>
                <w:lang w:val="en-US" w:eastAsia="ja-JP" w:bidi="ar"/>
              </w:rPr>
              <w:t>-beginner</w:t>
            </w:r>
            <w:r>
              <w:rPr>
                <w:rFonts w:ascii="Arial" w:hAnsi="Arial" w:eastAsia="Century" w:cs="Arial"/>
                <w:i w:val="0"/>
                <w:caps w:val="0"/>
                <w:color w:val="222222"/>
                <w:spacing w:val="0"/>
                <w:kern w:val="0"/>
                <w:sz w:val="26"/>
                <w:szCs w:val="26"/>
                <w:lang w:val="en-US" w:eastAsia="zh-CN" w:bidi="ar"/>
              </w:rPr>
              <w:t xml:space="preserve"> level and build off of skills established in</w:t>
            </w:r>
            <w:r>
              <w:rPr>
                <w:rFonts w:hint="eastAsia" w:ascii="Arial" w:hAnsi="Arial" w:cs="Arial"/>
                <w:i w:val="0"/>
                <w:caps w:val="0"/>
                <w:color w:val="222222"/>
                <w:spacing w:val="0"/>
                <w:kern w:val="0"/>
                <w:sz w:val="26"/>
                <w:szCs w:val="26"/>
                <w:lang w:val="en-US" w:eastAsia="ja-JP" w:bidi="ar"/>
              </w:rPr>
              <w:t xml:space="preserve"> the standard English curriculum of Japanese High School.</w:t>
            </w:r>
            <w:r>
              <w:rPr>
                <w:rFonts w:ascii="Arial" w:hAnsi="Arial" w:eastAsia="Century" w:cs="Arial"/>
                <w:i w:val="0"/>
                <w:caps w:val="0"/>
                <w:color w:val="222222"/>
                <w:spacing w:val="0"/>
                <w:kern w:val="0"/>
                <w:sz w:val="26"/>
                <w:szCs w:val="26"/>
                <w:lang w:val="en-US" w:eastAsia="zh-CN" w:bidi="ar"/>
              </w:rPr>
              <w:t xml:space="preserve"> </w:t>
            </w:r>
          </w:p>
          <w:p>
            <w:pPr>
              <w:keepNext w:val="0"/>
              <w:keepLines w:val="0"/>
              <w:widowControl/>
              <w:suppressLineNumbers w:val="0"/>
              <w:spacing w:before="0" w:beforeAutospacing="0" w:after="0" w:afterAutospacing="0"/>
              <w:ind w:left="0" w:right="0" w:firstLine="0"/>
              <w:jc w:val="left"/>
              <w:rPr>
                <w:rFonts w:hint="default" w:ascii="Century" w:hAnsi="Century" w:eastAsia="Century" w:cs="Century"/>
                <w:i w:val="0"/>
                <w:caps w:val="0"/>
                <w:color w:val="222222"/>
                <w:spacing w:val="0"/>
                <w:sz w:val="21"/>
                <w:szCs w:val="21"/>
              </w:rPr>
            </w:pPr>
            <w:r>
              <w:rPr>
                <w:rFonts w:hint="default" w:ascii="Arial" w:hAnsi="Arial" w:eastAsia="Century" w:cs="Arial"/>
                <w:i w:val="0"/>
                <w:caps w:val="0"/>
                <w:color w:val="222222"/>
                <w:spacing w:val="0"/>
                <w:kern w:val="0"/>
                <w:sz w:val="26"/>
                <w:szCs w:val="26"/>
                <w:lang w:val="en-US" w:eastAsia="zh-CN" w:bidi="ar"/>
              </w:rPr>
              <w:t xml:space="preserve">While </w:t>
            </w:r>
            <w:r>
              <w:rPr>
                <w:rFonts w:hint="eastAsia" w:ascii="Arial" w:hAnsi="Arial" w:cs="Arial"/>
                <w:i w:val="0"/>
                <w:caps w:val="0"/>
                <w:color w:val="222222"/>
                <w:spacing w:val="0"/>
                <w:kern w:val="0"/>
                <w:sz w:val="26"/>
                <w:szCs w:val="26"/>
                <w:lang w:val="en-US" w:eastAsia="ja-JP" w:bidi="ar"/>
              </w:rPr>
              <w:t xml:space="preserve">all lessons will include time devoted exclusively </w:t>
            </w:r>
            <w:r>
              <w:rPr>
                <w:rFonts w:hint="default" w:ascii="Arial" w:hAnsi="Arial" w:eastAsia="Century" w:cs="Arial"/>
                <w:i w:val="0"/>
                <w:caps w:val="0"/>
                <w:color w:val="222222"/>
                <w:spacing w:val="0"/>
                <w:kern w:val="0"/>
                <w:sz w:val="26"/>
                <w:szCs w:val="26"/>
                <w:lang w:val="en-US" w:eastAsia="zh-CN" w:bidi="ar"/>
              </w:rPr>
              <w:t>to reading, writing and passive listening exercises, this will generally be a means of preparation for speaking activities. The majority of class time will be spent in pair and group work practicing functional conversation with each other as designated by the goals and particular focus of the given lesson. My own research shows that students respond well and show markedly more improvement in a learning environment where they are encouraged to interact and speak with each other in the target language. This type of “socially conducive” teaching style will be used throughout the course. Student participation i.e. making a sincere effort to use and improve speaking skills in class will therefore constitute a significant percentage of the final grade.</w:t>
            </w:r>
          </w:p>
          <w:p>
            <w:pPr>
              <w:keepNext w:val="0"/>
              <w:keepLines w:val="0"/>
              <w:widowControl/>
              <w:suppressLineNumbers w:val="0"/>
              <w:spacing w:before="0" w:beforeAutospacing="0" w:after="0" w:afterAutospacing="0"/>
              <w:ind w:left="0" w:right="0" w:firstLine="0"/>
              <w:jc w:val="left"/>
              <w:rPr>
                <w:rFonts w:hint="default" w:ascii="Century" w:hAnsi="Century" w:eastAsia="Century" w:cs="Century"/>
                <w:i w:val="0"/>
                <w:caps w:val="0"/>
                <w:color w:val="222222"/>
                <w:spacing w:val="0"/>
                <w:sz w:val="21"/>
                <w:szCs w:val="21"/>
              </w:rPr>
            </w:pPr>
            <w:r>
              <w:rPr>
                <w:rFonts w:hint="default" w:ascii="Arial" w:hAnsi="Arial" w:eastAsia="Century" w:cs="Arial"/>
                <w:i w:val="0"/>
                <w:caps w:val="0"/>
                <w:color w:val="222222"/>
                <w:spacing w:val="0"/>
                <w:kern w:val="0"/>
                <w:sz w:val="26"/>
                <w:szCs w:val="26"/>
                <w:lang w:val="en-US" w:eastAsia="zh-CN" w:bidi="ar"/>
              </w:rPr>
              <w:t>NOTE: all students will be expected to use the course syllabus as a resource to help them stay informed of the general structure of the course, lesson focus topics and homework to be given. So, please keep this printout with you through the course just as you will your textbook and any associated notes etc.</w:t>
            </w:r>
          </w:p>
          <w:p>
            <w:pPr>
              <w:jc w:val="left"/>
              <w:rPr>
                <w:rFonts w:asciiTheme="minorEastAsia" w:hAnsiTheme="minorEastAsia" w:eastAsiaTheme="minorEastAsia"/>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99" w:type="dxa"/>
            <w:bottom w:w="0" w:type="dxa"/>
            <w:right w:w="99" w:type="dxa"/>
          </w:tblCellMar>
        </w:tblPrEx>
        <w:trPr>
          <w:trHeight w:val="20" w:hRule="atLeast"/>
        </w:trPr>
        <w:tc>
          <w:tcPr>
            <w:tcW w:w="9425" w:type="dxa"/>
            <w:gridSpan w:val="8"/>
            <w:tcBorders>
              <w:top w:val="nil"/>
              <w:left w:val="single" w:color="auto" w:sz="12" w:space="0"/>
              <w:bottom w:val="single" w:color="auto" w:sz="4" w:space="0"/>
              <w:right w:val="single" w:color="auto" w:sz="12" w:space="0"/>
            </w:tcBorders>
            <w:shd w:val="clear" w:color="auto" w:fill="auto"/>
            <w:tcMar>
              <w:top w:w="28" w:type="dxa"/>
              <w:bottom w:w="28" w:type="dxa"/>
            </w:tcMar>
          </w:tcPr>
          <w:p>
            <w:pPr>
              <w:jc w:val="left"/>
              <w:rPr>
                <w:rFonts w:ascii="ＭＳ Ｐゴシック" w:hAnsi="ＭＳ Ｐゴシック" w:eastAsia="ＭＳ Ｐゴシック"/>
                <w:sz w:val="24"/>
              </w:rPr>
            </w:pPr>
            <w:r>
              <w:rPr>
                <w:rFonts w:hint="eastAsia" w:ascii="ＭＳ Ｐゴシック" w:eastAsia="ＭＳ Ｐゴシック"/>
                <w:b/>
                <w:sz w:val="24"/>
              </w:rPr>
              <w:t>キーワード</w:t>
            </w:r>
          </w:p>
          <w:p>
            <w:pPr>
              <w:jc w:val="left"/>
              <w:rPr>
                <w:rFonts w:asciiTheme="minorEastAsia" w:hAnsiTheme="minorEastAsia" w:eastAsiaTheme="minorEastAsia"/>
                <w:sz w:val="24"/>
              </w:rPr>
            </w:pPr>
            <w:r>
              <w:rPr>
                <w:rFonts w:hint="eastAsia" w:asciiTheme="minorEastAsia" w:hAnsiTheme="minorEastAsia" w:eastAsiaTheme="minorEastAsia"/>
                <w:sz w:val="24"/>
              </w:rPr>
              <w:t>コミュニケーション、外国文化、現代英語</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99" w:type="dxa"/>
            <w:bottom w:w="0" w:type="dxa"/>
            <w:right w:w="99" w:type="dxa"/>
          </w:tblCellMar>
        </w:tblPrEx>
        <w:trPr>
          <w:trHeight w:val="20" w:hRule="atLeast"/>
        </w:trPr>
        <w:tc>
          <w:tcPr>
            <w:tcW w:w="9425" w:type="dxa"/>
            <w:gridSpan w:val="8"/>
            <w:tcBorders>
              <w:top w:val="nil"/>
              <w:left w:val="single" w:color="auto" w:sz="12" w:space="0"/>
              <w:bottom w:val="single" w:color="auto" w:sz="4" w:space="0"/>
              <w:right w:val="single" w:color="auto" w:sz="12" w:space="0"/>
            </w:tcBorders>
            <w:shd w:val="clear" w:color="auto" w:fill="auto"/>
            <w:tcMar>
              <w:top w:w="28" w:type="dxa"/>
              <w:bottom w:w="28" w:type="dxa"/>
            </w:tcMar>
          </w:tcPr>
          <w:p>
            <w:pPr>
              <w:jc w:val="left"/>
              <w:rPr>
                <w:rFonts w:ascii="ＭＳ Ｐゴシック" w:hAnsi="ＭＳ Ｐゴシック" w:eastAsia="ＭＳ Ｐゴシック"/>
                <w:sz w:val="24"/>
              </w:rPr>
            </w:pPr>
            <w:r>
              <w:rPr>
                <w:rFonts w:hint="eastAsia" w:ascii="ＭＳ Ｐゴシック" w:eastAsia="ＭＳ Ｐゴシック"/>
                <w:b/>
                <w:sz w:val="24"/>
              </w:rPr>
              <w:t>到達目標</w:t>
            </w:r>
          </w:p>
          <w:p>
            <w:pPr>
              <w:keepNext w:val="0"/>
              <w:keepLines w:val="0"/>
              <w:widowControl/>
              <w:suppressLineNumbers w:val="0"/>
              <w:spacing w:before="0" w:beforeAutospacing="0" w:after="0" w:afterAutospacing="0"/>
              <w:ind w:left="0" w:right="0" w:firstLine="0"/>
              <w:jc w:val="left"/>
              <w:rPr>
                <w:rFonts w:ascii="Century" w:hAnsi="Century" w:eastAsia="Century" w:cs="Century"/>
                <w:i w:val="0"/>
                <w:caps w:val="0"/>
                <w:color w:val="222222"/>
                <w:spacing w:val="0"/>
                <w:sz w:val="21"/>
                <w:szCs w:val="21"/>
              </w:rPr>
            </w:pPr>
            <w:r>
              <w:rPr>
                <w:rFonts w:ascii="Arial" w:hAnsi="Arial" w:eastAsia="Century" w:cs="Arial"/>
                <w:i w:val="0"/>
                <w:caps w:val="0"/>
                <w:color w:val="222222"/>
                <w:spacing w:val="0"/>
                <w:kern w:val="0"/>
                <w:sz w:val="26"/>
                <w:szCs w:val="26"/>
                <w:lang w:val="en-US" w:eastAsia="zh-CN" w:bidi="ar"/>
              </w:rPr>
              <w:t>The course will focus largely on the development of conversational skill based on a variety of both every day and more specialized topics. The textbook used, English Firsthand 2, will start at an intermediate level and build off of skills established in Year 1 English classes. Topics will therefore include a higher degree of grammatical understanding and expressive ability.</w:t>
            </w:r>
          </w:p>
          <w:p>
            <w:pPr>
              <w:keepNext w:val="0"/>
              <w:keepLines w:val="0"/>
              <w:widowControl/>
              <w:suppressLineNumbers w:val="0"/>
              <w:spacing w:before="0" w:beforeAutospacing="0" w:after="0" w:afterAutospacing="0"/>
              <w:ind w:left="0" w:right="0" w:firstLine="0"/>
              <w:jc w:val="left"/>
              <w:rPr>
                <w:rFonts w:hint="default" w:ascii="Century" w:hAnsi="Century" w:eastAsia="Century" w:cs="Century"/>
                <w:i w:val="0"/>
                <w:caps w:val="0"/>
                <w:color w:val="222222"/>
                <w:spacing w:val="0"/>
                <w:sz w:val="21"/>
                <w:szCs w:val="21"/>
              </w:rPr>
            </w:pPr>
            <w:r>
              <w:rPr>
                <w:rFonts w:hint="default" w:ascii="Arial" w:hAnsi="Arial" w:eastAsia="Century" w:cs="Arial"/>
                <w:i w:val="0"/>
                <w:caps w:val="0"/>
                <w:color w:val="222222"/>
                <w:spacing w:val="0"/>
                <w:kern w:val="0"/>
                <w:sz w:val="26"/>
                <w:szCs w:val="26"/>
                <w:lang w:val="en-US" w:eastAsia="zh-CN" w:bidi="ar"/>
              </w:rPr>
              <w:t>While some time may be given to reading, writing and passive listening exercises, this will generally be a means of preparation for speaking activities. The majority of class time will be spent in pair and group work practicing functional conversation with each other as designated by the goals and particular focus of the given lesson. My own research shows that students respond well and show markedly more improvement in a learning environment where they are encouraged to interact and speak with each other in the target language. This type of “socially conducive” teaching style will be used throughout the course. Student participation i.e. making a sincere effort to use and improve speaking skills in class will therefore constitute a significant percentage of the final grade.</w:t>
            </w:r>
          </w:p>
          <w:p>
            <w:pPr>
              <w:keepNext w:val="0"/>
              <w:keepLines w:val="0"/>
              <w:widowControl/>
              <w:suppressLineNumbers w:val="0"/>
              <w:spacing w:before="0" w:beforeAutospacing="0" w:after="0" w:afterAutospacing="0"/>
              <w:ind w:left="0" w:right="0" w:firstLine="0"/>
              <w:jc w:val="left"/>
              <w:rPr>
                <w:rFonts w:hint="default" w:ascii="Century" w:hAnsi="Century" w:eastAsia="Century" w:cs="Century"/>
                <w:i w:val="0"/>
                <w:caps w:val="0"/>
                <w:color w:val="222222"/>
                <w:spacing w:val="0"/>
                <w:sz w:val="21"/>
                <w:szCs w:val="21"/>
              </w:rPr>
            </w:pPr>
            <w:r>
              <w:rPr>
                <w:rFonts w:hint="default" w:ascii="Arial" w:hAnsi="Arial" w:eastAsia="Century" w:cs="Arial"/>
                <w:i w:val="0"/>
                <w:caps w:val="0"/>
                <w:color w:val="222222"/>
                <w:spacing w:val="0"/>
                <w:kern w:val="0"/>
                <w:sz w:val="26"/>
                <w:szCs w:val="26"/>
                <w:lang w:val="en-US" w:eastAsia="zh-CN" w:bidi="ar"/>
              </w:rPr>
              <w:t>NOTE: all students will be expected to use the course syllabus as a resource to help them stay informed of the general structure of the course, lesson focus topics and homework to be given. So, please keep this printout with you through the course just as you will your textbook and any associated notes etc.</w:t>
            </w:r>
          </w:p>
          <w:p>
            <w:pPr>
              <w:jc w:val="left"/>
              <w:rPr>
                <w:rFonts w:asciiTheme="minorEastAsia" w:hAnsiTheme="minorEastAsia" w:eastAsiaTheme="minorEastAsia"/>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99" w:type="dxa"/>
            <w:bottom w:w="0" w:type="dxa"/>
            <w:right w:w="99" w:type="dxa"/>
          </w:tblCellMar>
        </w:tblPrEx>
        <w:trPr>
          <w:trHeight w:val="20" w:hRule="atLeast"/>
        </w:trPr>
        <w:tc>
          <w:tcPr>
            <w:tcW w:w="9425" w:type="dxa"/>
            <w:gridSpan w:val="8"/>
            <w:tcBorders>
              <w:top w:val="nil"/>
              <w:left w:val="single" w:color="auto" w:sz="12" w:space="0"/>
              <w:bottom w:val="single" w:color="auto" w:sz="4" w:space="0"/>
              <w:right w:val="single" w:color="auto" w:sz="12" w:space="0"/>
            </w:tcBorders>
            <w:shd w:val="clear" w:color="auto" w:fill="auto"/>
            <w:tcMar>
              <w:top w:w="28" w:type="dxa"/>
              <w:bottom w:w="28" w:type="dxa"/>
            </w:tcMar>
          </w:tcPr>
          <w:p>
            <w:pPr>
              <w:jc w:val="left"/>
              <w:rPr>
                <w:rFonts w:ascii="ＭＳ Ｐゴシック" w:eastAsia="ＭＳ Ｐゴシック"/>
                <w:b/>
                <w:sz w:val="24"/>
              </w:rPr>
            </w:pPr>
            <w:r>
              <w:rPr>
                <w:rFonts w:hint="eastAsia" w:ascii="ＭＳ Ｐゴシック" w:eastAsia="ＭＳ Ｐゴシック"/>
                <w:b/>
                <w:sz w:val="24"/>
              </w:rPr>
              <w:t>授業の計画</w:t>
            </w:r>
          </w:p>
          <w:p>
            <w:pPr>
              <w:pStyle w:val="14"/>
              <w:numPr>
                <w:ilvl w:val="0"/>
                <w:numId w:val="1"/>
              </w:numPr>
              <w:ind w:leftChars="0"/>
              <w:jc w:val="left"/>
              <w:rPr>
                <w:rFonts w:ascii="ＭＳ Ｐゴシック" w:eastAsia="ＭＳ Ｐゴシック"/>
                <w:sz w:val="24"/>
              </w:rPr>
            </w:pPr>
            <w:r>
              <w:rPr>
                <w:rFonts w:ascii="ＭＳ Ｐゴシック" w:eastAsia="ＭＳ Ｐゴシック"/>
                <w:b/>
                <w:sz w:val="24"/>
              </w:rPr>
              <w:t>Course Introduction/Getting To Know You:</w:t>
            </w:r>
            <w:r>
              <w:rPr>
                <w:rFonts w:hint="eastAsia" w:ascii="ＭＳ Ｐゴシック" w:eastAsia="ＭＳ Ｐゴシック"/>
                <w:b/>
                <w:sz w:val="24"/>
                <w:lang w:val="en-US" w:eastAsia="ja-JP"/>
              </w:rPr>
              <w:t xml:space="preserve">: </w:t>
            </w:r>
            <w:r>
              <w:rPr>
                <w:rFonts w:ascii="ＭＳ Ｐゴシック" w:eastAsia="ＭＳ Ｐゴシック"/>
                <w:sz w:val="24"/>
              </w:rPr>
              <w:t>Special emphasis on the grading structure for the course will be made including a clear expectation of how attendance, test scores and homework will factor in to students’ final grade for the class. Time will be designated to review the syllabus as a class to ensure students understand the expectations of the course and that they are clear what resources are available to them. It will be made clear that the syllabus contains all the relevant information they need concerning the course and that they can contact me via the instructor’s designated University email address should they have and questions and concerns.</w:t>
            </w:r>
          </w:p>
          <w:p>
            <w:pPr>
              <w:pStyle w:val="14"/>
              <w:ind w:left="720" w:leftChars="0"/>
              <w:jc w:val="left"/>
              <w:rPr>
                <w:rFonts w:ascii="ＭＳ Ｐゴシック" w:eastAsia="ＭＳ Ｐゴシック"/>
                <w:sz w:val="24"/>
              </w:rPr>
            </w:pPr>
            <w:r>
              <w:rPr>
                <w:rFonts w:ascii="ＭＳ Ｐゴシック" w:eastAsia="ＭＳ Ｐゴシック"/>
                <w:sz w:val="24"/>
              </w:rPr>
              <w:t xml:space="preserve">Mention will be made that the course on the following week will focus on pages </w:t>
            </w:r>
            <w:r>
              <w:rPr>
                <w:rFonts w:hint="eastAsia" w:ascii="ＭＳ Ｐゴシック" w:eastAsia="ＭＳ Ｐゴシック"/>
                <w:sz w:val="24"/>
                <w:lang w:val="en-US" w:eastAsia="ja-JP"/>
              </w:rPr>
              <w:t>15</w:t>
            </w:r>
            <w:r>
              <w:rPr>
                <w:rFonts w:ascii="ＭＳ Ｐゴシック" w:eastAsia="ＭＳ Ｐゴシック"/>
                <w:sz w:val="24"/>
              </w:rPr>
              <w:t xml:space="preserve">-18 of the textbook and that the focus of the course will be on </w:t>
            </w:r>
            <w:r>
              <w:rPr>
                <w:rFonts w:hint="eastAsia" w:ascii="ＭＳ Ｐゴシック" w:eastAsia="ＭＳ Ｐゴシック"/>
                <w:sz w:val="24"/>
                <w:lang w:val="en-US" w:eastAsia="ja-JP"/>
              </w:rPr>
              <w:t>greetings, discussing interests and hobbies and exchanging personal information.</w:t>
            </w:r>
            <w:r>
              <w:rPr>
                <w:rFonts w:ascii="ＭＳ Ｐゴシック" w:eastAsia="ＭＳ Ｐゴシック"/>
                <w:sz w:val="24"/>
              </w:rPr>
              <w:t xml:space="preserve">. Previewing this part of the textbook will be recommended in order to prepare for the class. </w:t>
            </w:r>
          </w:p>
          <w:p>
            <w:pPr>
              <w:pStyle w:val="14"/>
              <w:ind w:left="720" w:leftChars="0"/>
              <w:jc w:val="left"/>
              <w:rPr>
                <w:rFonts w:ascii="ＭＳ Ｐゴシック" w:eastAsia="ＭＳ Ｐゴシック"/>
                <w:sz w:val="24"/>
              </w:rPr>
            </w:pPr>
            <w:r>
              <w:rPr>
                <w:rFonts w:ascii="ＭＳ Ｐゴシック" w:eastAsia="ＭＳ Ｐゴシック"/>
                <w:sz w:val="24"/>
              </w:rPr>
              <w:t>Time permitting we will practice self-introductions in class</w:t>
            </w:r>
            <w:r>
              <w:rPr>
                <w:rFonts w:hint="eastAsia" w:ascii="ＭＳ Ｐゴシック" w:eastAsia="ＭＳ Ｐゴシック"/>
                <w:sz w:val="24"/>
                <w:lang w:val="en-US" w:eastAsia="ja-JP"/>
              </w:rPr>
              <w:t xml:space="preserve"> using partner exercises.</w:t>
            </w:r>
          </w:p>
          <w:p>
            <w:pPr>
              <w:pStyle w:val="14"/>
              <w:numPr>
                <w:numId w:val="0"/>
              </w:numPr>
              <w:ind w:left="360" w:leftChars="0"/>
              <w:jc w:val="left"/>
              <w:rPr>
                <w:rFonts w:ascii="ＭＳ Ｐゴシック" w:eastAsia="ＭＳ Ｐゴシック"/>
                <w:b/>
                <w:sz w:val="24"/>
              </w:rPr>
            </w:pPr>
          </w:p>
          <w:p>
            <w:pPr>
              <w:pStyle w:val="14"/>
              <w:numPr>
                <w:ilvl w:val="0"/>
                <w:numId w:val="1"/>
              </w:numPr>
              <w:ind w:leftChars="0"/>
              <w:jc w:val="left"/>
              <w:rPr>
                <w:rFonts w:hint="eastAsia" w:ascii="ＭＳ Ｐゴシック" w:eastAsia="ＭＳ Ｐゴシック"/>
                <w:b w:val="0"/>
                <w:bCs/>
                <w:sz w:val="24"/>
                <w:lang w:val="en-US" w:eastAsia="ja-JP"/>
              </w:rPr>
            </w:pPr>
            <w:r>
              <w:rPr>
                <w:rFonts w:ascii="ＭＳ Ｐゴシック" w:eastAsia="ＭＳ Ｐゴシック"/>
                <w:b/>
                <w:sz w:val="24"/>
              </w:rPr>
              <w:t xml:space="preserve">Unit 1 - “It’s Nice To Meet You” : </w:t>
            </w:r>
            <w:r>
              <w:rPr>
                <w:rFonts w:hint="eastAsia" w:ascii="ＭＳ Ｐゴシック" w:eastAsia="ＭＳ Ｐゴシック"/>
                <w:b w:val="0"/>
                <w:bCs/>
                <w:sz w:val="24"/>
                <w:lang w:val="en-US" w:eastAsia="ja-JP"/>
              </w:rPr>
              <w:t xml:space="preserve">The target content for the lesson will be </w:t>
            </w:r>
            <w:r>
              <w:rPr>
                <w:rFonts w:ascii="ＭＳ Ｐゴシック" w:eastAsia="ＭＳ Ｐゴシック"/>
                <w:sz w:val="24"/>
              </w:rPr>
              <w:t>hobbies and interests</w:t>
            </w:r>
            <w:r>
              <w:rPr>
                <w:rFonts w:hint="eastAsia" w:ascii="ＭＳ Ｐゴシック" w:eastAsia="ＭＳ Ｐゴシック"/>
                <w:sz w:val="24"/>
                <w:lang w:val="en-US" w:eastAsia="ja-JP"/>
              </w:rPr>
              <w:t xml:space="preserve"> and </w:t>
            </w:r>
            <w:r>
              <w:rPr>
                <w:rFonts w:ascii="ＭＳ Ｐゴシック" w:eastAsia="ＭＳ Ｐゴシック"/>
                <w:sz w:val="24"/>
              </w:rPr>
              <w:t>exchanging information</w:t>
            </w:r>
            <w:r>
              <w:rPr>
                <w:rFonts w:hint="eastAsia" w:ascii="ＭＳ Ｐゴシック" w:eastAsia="ＭＳ Ｐゴシック"/>
                <w:sz w:val="24"/>
                <w:lang w:val="en-US" w:eastAsia="ja-JP"/>
              </w:rPr>
              <w:t xml:space="preserve"> via the </w:t>
            </w:r>
            <w:r>
              <w:rPr>
                <w:rFonts w:ascii="ＭＳ Ｐゴシック" w:eastAsia="ＭＳ Ｐゴシック"/>
                <w:sz w:val="24"/>
              </w:rPr>
              <w:t xml:space="preserve">simple present </w:t>
            </w:r>
            <w:r>
              <w:rPr>
                <w:rFonts w:hint="eastAsia" w:ascii="ＭＳ Ｐゴシック" w:eastAsia="ＭＳ Ｐゴシック"/>
                <w:sz w:val="24"/>
                <w:lang w:val="en-US" w:eastAsia="ja-JP"/>
              </w:rPr>
              <w:t>in the 1</w:t>
            </w:r>
            <w:r>
              <w:rPr>
                <w:rFonts w:hint="eastAsia" w:ascii="ＭＳ Ｐゴシック" w:eastAsia="ＭＳ Ｐゴシック"/>
                <w:sz w:val="24"/>
                <w:vertAlign w:val="superscript"/>
                <w:lang w:val="en-US" w:eastAsia="ja-JP"/>
              </w:rPr>
              <w:t>st</w:t>
            </w:r>
            <w:r>
              <w:rPr>
                <w:rFonts w:hint="eastAsia" w:ascii="ＭＳ Ｐゴシック" w:eastAsia="ＭＳ Ｐゴシック"/>
                <w:sz w:val="24"/>
                <w:lang w:val="en-US" w:eastAsia="ja-JP"/>
              </w:rPr>
              <w:t xml:space="preserve"> and 3</w:t>
            </w:r>
            <w:r>
              <w:rPr>
                <w:rFonts w:hint="eastAsia" w:ascii="ＭＳ Ｐゴシック" w:eastAsia="ＭＳ Ｐゴシック"/>
                <w:sz w:val="24"/>
                <w:vertAlign w:val="superscript"/>
                <w:lang w:val="en-US" w:eastAsia="ja-JP"/>
              </w:rPr>
              <w:t>rd</w:t>
            </w:r>
            <w:r>
              <w:rPr>
                <w:rFonts w:hint="eastAsia" w:ascii="ＭＳ Ｐゴシック" w:eastAsia="ＭＳ Ｐゴシック"/>
                <w:sz w:val="24"/>
                <w:lang w:val="en-US" w:eastAsia="ja-JP"/>
              </w:rPr>
              <w:t xml:space="preserve"> person tense. We will begin by eliciting and drilling various vocabulary and grammar associated with personal information such as where you are from, what you do, what you like, your age and your interests. Listening and reading exercises will briefly precede partnered conversation work as a means to lay the ground work and establish examples of the general structure of such conversations. </w:t>
            </w:r>
            <w:r>
              <w:rPr>
                <w:rFonts w:hint="eastAsia" w:ascii="ＭＳ Ｐゴシック" w:eastAsia="ＭＳ Ｐゴシック"/>
                <w:b w:val="0"/>
                <w:bCs/>
                <w:sz w:val="24"/>
                <w:lang w:val="en-US" w:eastAsia="ja-JP"/>
              </w:rPr>
              <w:t>The core of the lesson will focus on pages 15 - 18 where students will practice the target content in both the 1</w:t>
            </w:r>
            <w:r>
              <w:rPr>
                <w:rFonts w:hint="eastAsia" w:ascii="ＭＳ Ｐゴシック" w:eastAsia="ＭＳ Ｐゴシック"/>
                <w:b w:val="0"/>
                <w:bCs/>
                <w:sz w:val="24"/>
                <w:vertAlign w:val="superscript"/>
                <w:lang w:val="en-US" w:eastAsia="ja-JP"/>
              </w:rPr>
              <w:t>st</w:t>
            </w:r>
            <w:r>
              <w:rPr>
                <w:rFonts w:hint="eastAsia" w:ascii="ＭＳ Ｐゴシック" w:eastAsia="ＭＳ Ｐゴシック"/>
                <w:b w:val="0"/>
                <w:bCs/>
                <w:sz w:val="24"/>
                <w:lang w:val="en-US" w:eastAsia="ja-JP"/>
              </w:rPr>
              <w:t xml:space="preserve"> and 3</w:t>
            </w:r>
            <w:r>
              <w:rPr>
                <w:rFonts w:hint="eastAsia" w:ascii="ＭＳ Ｐゴシック" w:eastAsia="ＭＳ Ｐゴシック"/>
                <w:b w:val="0"/>
                <w:bCs/>
                <w:sz w:val="24"/>
                <w:vertAlign w:val="superscript"/>
                <w:lang w:val="en-US" w:eastAsia="ja-JP"/>
              </w:rPr>
              <w:t>rd</w:t>
            </w:r>
            <w:r>
              <w:rPr>
                <w:rFonts w:hint="eastAsia" w:ascii="ＭＳ Ｐゴシック" w:eastAsia="ＭＳ Ｐゴシック"/>
                <w:b w:val="0"/>
                <w:bCs/>
                <w:sz w:val="24"/>
                <w:lang w:val="en-US" w:eastAsia="ja-JP"/>
              </w:rPr>
              <w:t xml:space="preserve"> person. Homework will be page 19, exercises 1 and 2.</w:t>
            </w:r>
          </w:p>
          <w:p>
            <w:pPr>
              <w:pStyle w:val="14"/>
              <w:numPr>
                <w:numId w:val="0"/>
              </w:numPr>
              <w:ind w:left="360" w:leftChars="0"/>
              <w:jc w:val="left"/>
              <w:rPr>
                <w:rFonts w:hint="eastAsia" w:ascii="ＭＳ Ｐゴシック" w:eastAsia="ＭＳ Ｐゴシック"/>
                <w:b w:val="0"/>
                <w:bCs/>
                <w:sz w:val="24"/>
                <w:lang w:val="en-US" w:eastAsia="ja-JP"/>
              </w:rPr>
            </w:pPr>
          </w:p>
          <w:p>
            <w:pPr>
              <w:pStyle w:val="14"/>
              <w:numPr>
                <w:ilvl w:val="0"/>
                <w:numId w:val="1"/>
              </w:numPr>
              <w:ind w:leftChars="0"/>
              <w:jc w:val="left"/>
              <w:rPr>
                <w:rFonts w:ascii="ＭＳ Ｐゴシック" w:eastAsia="ＭＳ Ｐゴシック"/>
                <w:b/>
                <w:sz w:val="24"/>
              </w:rPr>
            </w:pPr>
            <w:r>
              <w:rPr>
                <w:rFonts w:ascii="ＭＳ Ｐゴシック" w:eastAsia="ＭＳ Ｐゴシック"/>
                <w:b/>
                <w:sz w:val="24"/>
              </w:rPr>
              <w:t xml:space="preserve">Unit 2 - Describing Appearance: </w:t>
            </w:r>
            <w:r>
              <w:rPr>
                <w:rFonts w:hint="eastAsia" w:ascii="ＭＳ Ｐゴシック" w:eastAsia="ＭＳ Ｐゴシック"/>
                <w:b w:val="0"/>
                <w:bCs/>
                <w:sz w:val="24"/>
                <w:lang w:val="en-US" w:eastAsia="ja-JP"/>
              </w:rPr>
              <w:t xml:space="preserve">target content will consist of </w:t>
            </w:r>
            <w:r>
              <w:rPr>
                <w:rFonts w:ascii="ＭＳ Ｐゴシック" w:eastAsia="ＭＳ Ｐゴシック"/>
                <w:sz w:val="24"/>
              </w:rPr>
              <w:t>practicing describing people and the appearance of things</w:t>
            </w:r>
            <w:r>
              <w:rPr>
                <w:rFonts w:hint="eastAsia" w:ascii="ＭＳ Ｐゴシック" w:eastAsia="ＭＳ Ｐゴシック"/>
                <w:sz w:val="24"/>
                <w:lang w:val="en-US" w:eastAsia="ja-JP"/>
              </w:rPr>
              <w:t>. Grammar targets will be accurate use of to</w:t>
            </w:r>
            <w:r>
              <w:rPr>
                <w:rFonts w:ascii="ＭＳ Ｐゴシック" w:eastAsia="ＭＳ Ｐゴシック"/>
                <w:sz w:val="24"/>
              </w:rPr>
              <w:t xml:space="preserve"> be vs </w:t>
            </w:r>
            <w:r>
              <w:rPr>
                <w:rFonts w:hint="eastAsia" w:ascii="ＭＳ Ｐゴシック" w:eastAsia="ＭＳ Ｐゴシック"/>
                <w:sz w:val="24"/>
                <w:lang w:val="en-US" w:eastAsia="ja-JP"/>
              </w:rPr>
              <w:t xml:space="preserve">to </w:t>
            </w:r>
            <w:r>
              <w:rPr>
                <w:rFonts w:ascii="ＭＳ Ｐゴシック" w:eastAsia="ＭＳ Ｐゴシック"/>
                <w:sz w:val="24"/>
              </w:rPr>
              <w:t xml:space="preserve">have </w:t>
            </w:r>
            <w:r>
              <w:rPr>
                <w:rFonts w:hint="eastAsia" w:ascii="ＭＳ Ｐゴシック" w:eastAsia="ＭＳ Ｐゴシック"/>
                <w:sz w:val="24"/>
                <w:lang w:val="en-US" w:eastAsia="ja-JP"/>
              </w:rPr>
              <w:t xml:space="preserve">e.g. </w:t>
            </w:r>
            <w:r>
              <w:rPr>
                <w:rFonts w:hint="default" w:ascii="ＭＳ Ｐゴシック" w:eastAsia="ＭＳ Ｐゴシック"/>
                <w:sz w:val="24"/>
                <w:lang w:val="en-US" w:eastAsia="ja-JP"/>
              </w:rPr>
              <w:t>“</w:t>
            </w:r>
            <w:r>
              <w:rPr>
                <w:rFonts w:hint="eastAsia" w:ascii="ＭＳ Ｐゴシック" w:eastAsia="ＭＳ Ｐゴシック"/>
                <w:sz w:val="24"/>
                <w:lang w:val="en-US" w:eastAsia="ja-JP"/>
              </w:rPr>
              <w:t>He is tall.</w:t>
            </w:r>
            <w:r>
              <w:rPr>
                <w:rFonts w:hint="default" w:ascii="ＭＳ Ｐゴシック" w:eastAsia="ＭＳ Ｐゴシック"/>
                <w:sz w:val="24"/>
                <w:lang w:val="en-US" w:eastAsia="ja-JP"/>
              </w:rPr>
              <w:t>”</w:t>
            </w:r>
            <w:r>
              <w:rPr>
                <w:rFonts w:hint="eastAsia" w:ascii="ＭＳ Ｐゴシック" w:eastAsia="ＭＳ Ｐゴシック"/>
                <w:sz w:val="24"/>
                <w:lang w:val="en-US" w:eastAsia="ja-JP"/>
              </w:rPr>
              <w:t xml:space="preserve"> vs. </w:t>
            </w:r>
            <w:r>
              <w:rPr>
                <w:rFonts w:hint="default" w:ascii="ＭＳ Ｐゴシック" w:eastAsia="ＭＳ Ｐゴシック"/>
                <w:sz w:val="24"/>
                <w:lang w:val="en-US" w:eastAsia="ja-JP"/>
              </w:rPr>
              <w:t>“</w:t>
            </w:r>
            <w:r>
              <w:rPr>
                <w:rFonts w:hint="eastAsia" w:ascii="ＭＳ Ｐゴシック" w:eastAsia="ＭＳ Ｐゴシック"/>
                <w:sz w:val="24"/>
                <w:lang w:val="en-US" w:eastAsia="ja-JP"/>
              </w:rPr>
              <w:t>He has brown eyes.</w:t>
            </w:r>
            <w:r>
              <w:rPr>
                <w:rFonts w:hint="default" w:ascii="ＭＳ Ｐゴシック" w:eastAsia="ＭＳ Ｐゴシック"/>
                <w:sz w:val="24"/>
                <w:lang w:val="en-US" w:eastAsia="ja-JP"/>
              </w:rPr>
              <w:t>”</w:t>
            </w:r>
            <w:r>
              <w:rPr>
                <w:rFonts w:hint="eastAsia" w:ascii="ＭＳ Ｐゴシック" w:eastAsia="ＭＳ Ｐゴシック"/>
                <w:sz w:val="24"/>
                <w:lang w:val="en-US" w:eastAsia="ja-JP"/>
              </w:rPr>
              <w:t>. The core of the lesson will consist of practicing the vocabulary and grammar associated with describing a person</w:t>
            </w:r>
            <w:r>
              <w:rPr>
                <w:rFonts w:hint="default" w:ascii="ＭＳ Ｐゴシック" w:eastAsia="ＭＳ Ｐゴシック"/>
                <w:sz w:val="24"/>
                <w:lang w:val="en-US" w:eastAsia="ja-JP"/>
              </w:rPr>
              <w:t>’</w:t>
            </w:r>
            <w:r>
              <w:rPr>
                <w:rFonts w:hint="eastAsia" w:ascii="ＭＳ Ｐゴシック" w:eastAsia="ＭＳ Ｐゴシック"/>
                <w:sz w:val="24"/>
                <w:lang w:val="en-US" w:eastAsia="ja-JP"/>
              </w:rPr>
              <w:t>s appearance in both the 1</w:t>
            </w:r>
            <w:r>
              <w:rPr>
                <w:rFonts w:hint="eastAsia" w:ascii="ＭＳ Ｐゴシック" w:eastAsia="ＭＳ Ｐゴシック"/>
                <w:sz w:val="24"/>
                <w:vertAlign w:val="superscript"/>
                <w:lang w:val="en-US" w:eastAsia="ja-JP"/>
              </w:rPr>
              <w:t>st</w:t>
            </w:r>
            <w:r>
              <w:rPr>
                <w:rFonts w:hint="eastAsia" w:ascii="ＭＳ Ｐゴシック" w:eastAsia="ＭＳ Ｐゴシック"/>
                <w:sz w:val="24"/>
                <w:lang w:val="en-US" w:eastAsia="ja-JP"/>
              </w:rPr>
              <w:t xml:space="preserve"> and 3</w:t>
            </w:r>
            <w:r>
              <w:rPr>
                <w:rFonts w:hint="eastAsia" w:ascii="ＭＳ Ｐゴシック" w:eastAsia="ＭＳ Ｐゴシック"/>
                <w:sz w:val="24"/>
                <w:vertAlign w:val="superscript"/>
                <w:lang w:val="en-US" w:eastAsia="ja-JP"/>
              </w:rPr>
              <w:t>rd</w:t>
            </w:r>
            <w:r>
              <w:rPr>
                <w:rFonts w:hint="eastAsia" w:ascii="ＭＳ Ｐゴシック" w:eastAsia="ＭＳ Ｐゴシック"/>
                <w:sz w:val="24"/>
                <w:lang w:val="en-US" w:eastAsia="ja-JP"/>
              </w:rPr>
              <w:t xml:space="preserve"> person tense. The core content may be reviewed by students on pages 20, 23 -26. Homework will be page 27, exercises 1 and 2.</w:t>
            </w:r>
          </w:p>
          <w:p>
            <w:pPr>
              <w:pStyle w:val="14"/>
              <w:numPr>
                <w:ilvl w:val="0"/>
                <w:numId w:val="1"/>
              </w:numPr>
              <w:ind w:leftChars="0"/>
              <w:jc w:val="left"/>
              <w:rPr>
                <w:rFonts w:ascii="ＭＳ Ｐゴシック" w:eastAsia="ＭＳ Ｐゴシック"/>
                <w:b/>
                <w:sz w:val="24"/>
              </w:rPr>
            </w:pPr>
            <w:r>
              <w:rPr>
                <w:rFonts w:ascii="ＭＳ Ｐゴシック" w:eastAsia="ＭＳ Ｐゴシック"/>
                <w:b/>
                <w:sz w:val="24"/>
              </w:rPr>
              <w:t xml:space="preserve">Unit 3 – Daily Activities and Routines: </w:t>
            </w:r>
            <w:r>
              <w:rPr>
                <w:rFonts w:hint="eastAsia" w:ascii="ＭＳ Ｐゴシック" w:eastAsia="ＭＳ Ｐゴシック"/>
                <w:b w:val="0"/>
                <w:bCs/>
                <w:sz w:val="24"/>
                <w:lang w:val="en-US" w:eastAsia="ja-JP"/>
              </w:rPr>
              <w:t xml:space="preserve">core content will consist of </w:t>
            </w:r>
            <w:r>
              <w:rPr>
                <w:rFonts w:ascii="ＭＳ Ｐゴシック" w:eastAsia="ＭＳ Ｐゴシック"/>
                <w:sz w:val="24"/>
              </w:rPr>
              <w:t>discussing and inquiring about</w:t>
            </w:r>
            <w:r>
              <w:rPr>
                <w:rFonts w:hint="eastAsia" w:ascii="ＭＳ Ｐゴシック" w:eastAsia="ＭＳ Ｐゴシック"/>
                <w:sz w:val="24"/>
                <w:lang w:val="en-US" w:eastAsia="ja-JP"/>
              </w:rPr>
              <w:t xml:space="preserve"> one</w:t>
            </w:r>
            <w:r>
              <w:rPr>
                <w:rFonts w:hint="default" w:ascii="ＭＳ Ｐゴシック" w:eastAsia="ＭＳ Ｐゴシック"/>
                <w:sz w:val="24"/>
                <w:lang w:val="en-US" w:eastAsia="ja-JP"/>
              </w:rPr>
              <w:t>’</w:t>
            </w:r>
            <w:r>
              <w:rPr>
                <w:rFonts w:hint="eastAsia" w:ascii="ＭＳ Ｐゴシック" w:eastAsia="ＭＳ Ｐゴシック"/>
                <w:sz w:val="24"/>
                <w:lang w:val="en-US" w:eastAsia="ja-JP"/>
              </w:rPr>
              <w:t>s daily</w:t>
            </w:r>
            <w:r>
              <w:rPr>
                <w:rFonts w:ascii="ＭＳ Ｐゴシック" w:eastAsia="ＭＳ Ｐゴシック"/>
                <w:sz w:val="24"/>
              </w:rPr>
              <w:t xml:space="preserve"> routine</w:t>
            </w:r>
            <w:r>
              <w:rPr>
                <w:rFonts w:hint="eastAsia" w:ascii="ＭＳ Ｐゴシック" w:eastAsia="ＭＳ Ｐゴシック"/>
                <w:sz w:val="24"/>
                <w:lang w:val="en-US" w:eastAsia="ja-JP"/>
              </w:rPr>
              <w:t xml:space="preserve"> and the use of </w:t>
            </w:r>
            <w:r>
              <w:rPr>
                <w:rFonts w:ascii="ＭＳ Ｐゴシック" w:eastAsia="ＭＳ Ｐゴシック"/>
                <w:sz w:val="24"/>
              </w:rPr>
              <w:t>adverbs of frequency</w:t>
            </w:r>
            <w:r>
              <w:rPr>
                <w:rFonts w:hint="eastAsia" w:ascii="ＭＳ Ｐゴシック" w:eastAsia="ＭＳ Ｐゴシック"/>
                <w:sz w:val="24"/>
                <w:lang w:val="en-US" w:eastAsia="ja-JP"/>
              </w:rPr>
              <w:t>. Students will practice the target content in both the 1</w:t>
            </w:r>
            <w:r>
              <w:rPr>
                <w:rFonts w:hint="eastAsia" w:ascii="ＭＳ Ｐゴシック" w:eastAsia="ＭＳ Ｐゴシック"/>
                <w:sz w:val="24"/>
                <w:vertAlign w:val="superscript"/>
                <w:lang w:val="en-US" w:eastAsia="ja-JP"/>
              </w:rPr>
              <w:t>st</w:t>
            </w:r>
            <w:r>
              <w:rPr>
                <w:rFonts w:hint="eastAsia" w:ascii="ＭＳ Ｐゴシック" w:eastAsia="ＭＳ Ｐゴシック"/>
                <w:sz w:val="24"/>
                <w:lang w:val="en-US" w:eastAsia="ja-JP"/>
              </w:rPr>
              <w:t xml:space="preserve"> and 3</w:t>
            </w:r>
            <w:r>
              <w:rPr>
                <w:rFonts w:hint="eastAsia" w:ascii="ＭＳ Ｐゴシック" w:eastAsia="ＭＳ Ｐゴシック"/>
                <w:sz w:val="24"/>
                <w:vertAlign w:val="superscript"/>
                <w:lang w:val="en-US" w:eastAsia="ja-JP"/>
              </w:rPr>
              <w:t>rd</w:t>
            </w:r>
            <w:r>
              <w:rPr>
                <w:rFonts w:hint="eastAsia" w:ascii="ＭＳ Ｐゴシック" w:eastAsia="ＭＳ Ｐゴシック"/>
                <w:sz w:val="24"/>
                <w:lang w:val="en-US" w:eastAsia="ja-JP"/>
              </w:rPr>
              <w:t xml:space="preserve"> person tense.</w:t>
            </w:r>
            <w:bookmarkStart w:id="0" w:name="_GoBack"/>
            <w:bookmarkEnd w:id="0"/>
          </w:p>
          <w:p>
            <w:pPr>
              <w:pStyle w:val="14"/>
              <w:numPr>
                <w:ilvl w:val="0"/>
                <w:numId w:val="1"/>
              </w:numPr>
              <w:ind w:leftChars="0"/>
              <w:jc w:val="left"/>
              <w:rPr>
                <w:rFonts w:ascii="ＭＳ Ｐゴシック" w:eastAsia="ＭＳ Ｐゴシック"/>
                <w:b/>
                <w:sz w:val="24"/>
              </w:rPr>
            </w:pPr>
            <w:r>
              <w:rPr>
                <w:rFonts w:ascii="ＭＳ Ｐゴシック" w:eastAsia="ＭＳ Ｐゴシック"/>
                <w:b/>
                <w:sz w:val="24"/>
              </w:rPr>
              <w:t xml:space="preserve">Unit 4 – Describing locations and relationships between objects: </w:t>
            </w:r>
            <w:r>
              <w:rPr>
                <w:rFonts w:ascii="ＭＳ Ｐゴシック" w:eastAsia="ＭＳ Ｐゴシック"/>
                <w:sz w:val="24"/>
              </w:rPr>
              <w:t>inferring objects and identifying locations, prepositions used with “There”</w:t>
            </w:r>
          </w:p>
          <w:p>
            <w:pPr>
              <w:pStyle w:val="14"/>
              <w:numPr>
                <w:ilvl w:val="0"/>
                <w:numId w:val="1"/>
              </w:numPr>
              <w:ind w:leftChars="0"/>
              <w:jc w:val="left"/>
              <w:rPr>
                <w:rFonts w:ascii="ＭＳ Ｐゴシック" w:eastAsia="ＭＳ Ｐゴシック"/>
                <w:b/>
                <w:sz w:val="24"/>
              </w:rPr>
            </w:pPr>
            <w:r>
              <w:rPr>
                <w:rFonts w:ascii="ＭＳ Ｐゴシック" w:eastAsia="ＭＳ Ｐゴシック"/>
                <w:b/>
                <w:sz w:val="24"/>
              </w:rPr>
              <w:t>Unit 5 – Giving Directions:</w:t>
            </w:r>
            <w:r>
              <w:rPr>
                <w:rFonts w:ascii="ＭＳ Ｐゴシック" w:eastAsia="ＭＳ Ｐゴシック"/>
                <w:sz w:val="24"/>
              </w:rPr>
              <w:t xml:space="preserve"> following maps, asking for directions and combining prepositions with verbs of movement</w:t>
            </w:r>
          </w:p>
          <w:p>
            <w:pPr>
              <w:pStyle w:val="14"/>
              <w:numPr>
                <w:ilvl w:val="0"/>
                <w:numId w:val="1"/>
              </w:numPr>
              <w:ind w:leftChars="0"/>
              <w:jc w:val="left"/>
              <w:rPr>
                <w:rFonts w:ascii="ＭＳ Ｐゴシック" w:eastAsia="ＭＳ Ｐゴシック"/>
                <w:b/>
                <w:sz w:val="24"/>
              </w:rPr>
            </w:pPr>
            <w:r>
              <w:rPr>
                <w:rFonts w:ascii="ＭＳ Ｐゴシック" w:eastAsia="ＭＳ Ｐゴシック"/>
                <w:b/>
                <w:sz w:val="24"/>
              </w:rPr>
              <w:t xml:space="preserve">Unit 6 – Discussing the Past: </w:t>
            </w:r>
            <w:r>
              <w:rPr>
                <w:rFonts w:ascii="ＭＳ Ｐゴシック" w:eastAsia="ＭＳ Ｐゴシック"/>
                <w:sz w:val="24"/>
              </w:rPr>
              <w:t>discussing past activities and life events, past tense irregular verbs</w:t>
            </w:r>
          </w:p>
          <w:p>
            <w:pPr>
              <w:pStyle w:val="14"/>
              <w:numPr>
                <w:ilvl w:val="0"/>
                <w:numId w:val="1"/>
              </w:numPr>
              <w:ind w:leftChars="0"/>
              <w:jc w:val="left"/>
              <w:rPr>
                <w:rFonts w:ascii="ＭＳ Ｐゴシック" w:eastAsia="ＭＳ Ｐゴシック"/>
                <w:b/>
                <w:sz w:val="24"/>
              </w:rPr>
            </w:pPr>
            <w:r>
              <w:rPr>
                <w:rFonts w:ascii="ＭＳ Ｐゴシック" w:eastAsia="ＭＳ Ｐゴシック"/>
                <w:b/>
                <w:sz w:val="24"/>
              </w:rPr>
              <w:t xml:space="preserve">Review of Units 1-6: </w:t>
            </w:r>
            <w:r>
              <w:rPr>
                <w:rFonts w:ascii="ＭＳ Ｐゴシック" w:eastAsia="ＭＳ Ｐゴシック"/>
                <w:sz w:val="24"/>
              </w:rPr>
              <w:t>based on student performance points in need of further practice will be reviewed. A mid term quiz will also be given</w:t>
            </w:r>
          </w:p>
          <w:p>
            <w:pPr>
              <w:pStyle w:val="14"/>
              <w:numPr>
                <w:ilvl w:val="0"/>
                <w:numId w:val="1"/>
              </w:numPr>
              <w:ind w:leftChars="0"/>
              <w:jc w:val="left"/>
              <w:rPr>
                <w:rFonts w:ascii="ＭＳ Ｐゴシック" w:eastAsia="ＭＳ Ｐゴシック"/>
                <w:b/>
                <w:sz w:val="24"/>
              </w:rPr>
            </w:pPr>
            <w:r>
              <w:rPr>
                <w:rFonts w:ascii="ＭＳ Ｐゴシック" w:eastAsia="ＭＳ Ｐゴシック"/>
                <w:b/>
                <w:sz w:val="24"/>
              </w:rPr>
              <w:t>Unit 7 – Discussing Occupations:</w:t>
            </w:r>
            <w:r>
              <w:rPr>
                <w:rFonts w:ascii="ＭＳ Ｐゴシック" w:eastAsia="ＭＳ Ｐゴシック"/>
                <w:sz w:val="24"/>
              </w:rPr>
              <w:t xml:space="preserve"> describing and inquiring about different occupations, practice interviews, verbs and adjectives describing skills and talents</w:t>
            </w:r>
          </w:p>
          <w:p>
            <w:pPr>
              <w:pStyle w:val="14"/>
              <w:numPr>
                <w:ilvl w:val="0"/>
                <w:numId w:val="1"/>
              </w:numPr>
              <w:ind w:leftChars="0"/>
              <w:jc w:val="left"/>
              <w:rPr>
                <w:rFonts w:ascii="ＭＳ Ｐゴシック" w:eastAsia="ＭＳ Ｐゴシック"/>
                <w:b/>
                <w:sz w:val="24"/>
              </w:rPr>
            </w:pPr>
            <w:r>
              <w:rPr>
                <w:rFonts w:ascii="ＭＳ Ｐゴシック" w:eastAsia="ＭＳ Ｐゴシック"/>
                <w:b/>
                <w:sz w:val="24"/>
              </w:rPr>
              <w:t xml:space="preserve">Unit 8 – Discussing Entertainment: </w:t>
            </w:r>
            <w:r>
              <w:rPr>
                <w:rFonts w:ascii="ＭＳ Ｐゴシック" w:eastAsia="ＭＳ Ｐゴシック"/>
                <w:sz w:val="24"/>
              </w:rPr>
              <w:t>discussing and making plans, practicing invitations and discussing reasons to either decline or accept</w:t>
            </w:r>
          </w:p>
          <w:p>
            <w:pPr>
              <w:pStyle w:val="14"/>
              <w:numPr>
                <w:ilvl w:val="0"/>
                <w:numId w:val="1"/>
              </w:numPr>
              <w:ind w:leftChars="0"/>
              <w:jc w:val="left"/>
              <w:rPr>
                <w:rFonts w:ascii="ＭＳ Ｐゴシック" w:eastAsia="ＭＳ Ｐゴシック"/>
                <w:b/>
                <w:sz w:val="24"/>
              </w:rPr>
            </w:pPr>
            <w:r>
              <w:rPr>
                <w:rFonts w:ascii="ＭＳ Ｐゴシック" w:eastAsia="ＭＳ Ｐゴシック"/>
                <w:b/>
                <w:sz w:val="24"/>
              </w:rPr>
              <w:t xml:space="preserve">Unit 9 – Discussing Future Plans and Activities: </w:t>
            </w:r>
            <w:r>
              <w:rPr>
                <w:rFonts w:ascii="ＭＳ Ｐゴシック" w:eastAsia="ＭＳ Ｐゴシック"/>
                <w:sz w:val="24"/>
              </w:rPr>
              <w:t>practicing the future tense in regard to plans</w:t>
            </w:r>
          </w:p>
          <w:p>
            <w:pPr>
              <w:pStyle w:val="14"/>
              <w:numPr>
                <w:ilvl w:val="0"/>
                <w:numId w:val="1"/>
              </w:numPr>
              <w:ind w:leftChars="0"/>
              <w:jc w:val="left"/>
              <w:rPr>
                <w:rFonts w:ascii="ＭＳ Ｐゴシック" w:eastAsia="ＭＳ Ｐゴシック"/>
                <w:b/>
                <w:sz w:val="24"/>
              </w:rPr>
            </w:pPr>
            <w:r>
              <w:rPr>
                <w:rFonts w:ascii="ＭＳ Ｐゴシック" w:eastAsia="ＭＳ Ｐゴシック"/>
                <w:b/>
                <w:sz w:val="24"/>
              </w:rPr>
              <w:t xml:space="preserve">Unit 10 – Shopping: </w:t>
            </w:r>
            <w:r>
              <w:rPr>
                <w:rFonts w:ascii="ＭＳ Ｐゴシック" w:eastAsia="ＭＳ Ｐゴシック"/>
                <w:sz w:val="24"/>
              </w:rPr>
              <w:t>drilling vocabulary and phrases associated with inquiring about products and buying them, practice of comparative tense and intensifiers</w:t>
            </w:r>
          </w:p>
          <w:p>
            <w:pPr>
              <w:pStyle w:val="14"/>
              <w:numPr>
                <w:ilvl w:val="0"/>
                <w:numId w:val="1"/>
              </w:numPr>
              <w:ind w:leftChars="0"/>
              <w:jc w:val="left"/>
              <w:rPr>
                <w:rFonts w:ascii="ＭＳ Ｐゴシック" w:eastAsia="ＭＳ Ｐゴシック"/>
                <w:b/>
                <w:sz w:val="24"/>
              </w:rPr>
            </w:pPr>
            <w:r>
              <w:rPr>
                <w:rFonts w:ascii="ＭＳ Ｐゴシック" w:eastAsia="ＭＳ Ｐゴシック"/>
                <w:b/>
                <w:sz w:val="24"/>
              </w:rPr>
              <w:t xml:space="preserve">Unit 11 – Describing Processes: </w:t>
            </w:r>
            <w:r>
              <w:rPr>
                <w:rFonts w:ascii="ＭＳ Ｐゴシック" w:eastAsia="ＭＳ Ｐゴシック"/>
                <w:sz w:val="24"/>
              </w:rPr>
              <w:t>describing sequential steps such as cooking or making origami in order to develop the skills to logically express how to complete a process from beginning to end</w:t>
            </w:r>
          </w:p>
          <w:p>
            <w:pPr>
              <w:pStyle w:val="14"/>
              <w:numPr>
                <w:ilvl w:val="0"/>
                <w:numId w:val="1"/>
              </w:numPr>
              <w:ind w:leftChars="0"/>
              <w:jc w:val="left"/>
              <w:rPr>
                <w:rFonts w:ascii="ＭＳ Ｐゴシック" w:eastAsia="ＭＳ Ｐゴシック"/>
                <w:b/>
                <w:sz w:val="24"/>
              </w:rPr>
            </w:pPr>
            <w:r>
              <w:rPr>
                <w:rFonts w:ascii="ＭＳ Ｐゴシック" w:eastAsia="ＭＳ Ｐゴシック"/>
                <w:b/>
                <w:sz w:val="24"/>
              </w:rPr>
              <w:t xml:space="preserve">Unit 12 – Expressing Opinions: </w:t>
            </w:r>
            <w:r>
              <w:rPr>
                <w:rFonts w:ascii="ＭＳ Ｐゴシック" w:eastAsia="ＭＳ Ｐゴシック"/>
                <w:sz w:val="24"/>
              </w:rPr>
              <w:t>drilling vocabulary and its associated nuance in order to accurately express one’s opinion of something</w:t>
            </w:r>
          </w:p>
          <w:p>
            <w:pPr>
              <w:pStyle w:val="14"/>
              <w:numPr>
                <w:ilvl w:val="0"/>
                <w:numId w:val="1"/>
              </w:numPr>
              <w:ind w:leftChars="0"/>
              <w:jc w:val="left"/>
              <w:rPr>
                <w:rFonts w:ascii="ＭＳ Ｐゴシック" w:eastAsia="ＭＳ Ｐゴシック"/>
                <w:b/>
                <w:sz w:val="24"/>
              </w:rPr>
            </w:pPr>
            <w:r>
              <w:rPr>
                <w:rFonts w:ascii="ＭＳ Ｐゴシック" w:eastAsia="ＭＳ Ｐゴシック"/>
                <w:b/>
                <w:sz w:val="24"/>
              </w:rPr>
              <w:t xml:space="preserve">Review of Units 7 -12: </w:t>
            </w:r>
            <w:r>
              <w:rPr>
                <w:rFonts w:ascii="ＭＳ Ｐゴシック" w:eastAsia="ＭＳ Ｐゴシック"/>
                <w:sz w:val="24"/>
              </w:rPr>
              <w:t>based on student performance points in need of further practice will be reviewed.</w:t>
            </w:r>
          </w:p>
          <w:p>
            <w:pPr>
              <w:pStyle w:val="14"/>
              <w:numPr>
                <w:ilvl w:val="0"/>
                <w:numId w:val="1"/>
              </w:numPr>
              <w:ind w:leftChars="0"/>
              <w:jc w:val="left"/>
              <w:rPr>
                <w:rFonts w:ascii="ＭＳ Ｐゴシック" w:eastAsia="ＭＳ Ｐゴシック"/>
                <w:b/>
                <w:sz w:val="24"/>
              </w:rPr>
            </w:pPr>
            <w:r>
              <w:rPr>
                <w:rFonts w:ascii="ＭＳ Ｐゴシック" w:eastAsia="ＭＳ Ｐゴシック"/>
                <w:b/>
                <w:sz w:val="24"/>
              </w:rPr>
              <w:t xml:space="preserve">Final Evaluation and Presentation: </w:t>
            </w:r>
            <w:r>
              <w:rPr>
                <w:rFonts w:ascii="ＭＳ Ｐゴシック" w:eastAsia="ＭＳ Ｐゴシック"/>
                <w:sz w:val="24"/>
              </w:rPr>
              <w:t>Students will take a final quiz and then give a brief presentation in English.</w:t>
            </w:r>
          </w:p>
          <w:p>
            <w:pPr>
              <w:snapToGrid w:val="0"/>
              <w:rPr>
                <w:rFonts w:asciiTheme="minorEastAsia" w:hAnsiTheme="minorEastAsia" w:eastAsiaTheme="minorEastAsia"/>
                <w:b/>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99" w:type="dxa"/>
            <w:bottom w:w="0" w:type="dxa"/>
            <w:right w:w="99" w:type="dxa"/>
          </w:tblCellMar>
        </w:tblPrEx>
        <w:trPr>
          <w:trHeight w:val="20" w:hRule="atLeast"/>
        </w:trPr>
        <w:tc>
          <w:tcPr>
            <w:tcW w:w="9425" w:type="dxa"/>
            <w:gridSpan w:val="8"/>
            <w:tcBorders>
              <w:top w:val="nil"/>
              <w:left w:val="single" w:color="auto" w:sz="12" w:space="0"/>
              <w:bottom w:val="single" w:color="auto" w:sz="4" w:space="0"/>
              <w:right w:val="single" w:color="auto" w:sz="12" w:space="0"/>
            </w:tcBorders>
            <w:shd w:val="clear" w:color="auto" w:fill="auto"/>
            <w:tcMar>
              <w:top w:w="28" w:type="dxa"/>
              <w:bottom w:w="28" w:type="dxa"/>
            </w:tcMar>
          </w:tcPr>
          <w:p>
            <w:pPr>
              <w:jc w:val="left"/>
              <w:rPr>
                <w:rFonts w:ascii="ＭＳ Ｐゴシック" w:eastAsia="ＭＳ Ｐゴシック"/>
                <w:b/>
                <w:sz w:val="24"/>
              </w:rPr>
            </w:pPr>
            <w:r>
              <w:rPr>
                <w:rFonts w:hint="eastAsia" w:ascii="ＭＳ Ｐゴシック" w:eastAsia="ＭＳ Ｐゴシック"/>
                <w:b/>
                <w:sz w:val="24"/>
              </w:rPr>
              <w:t>教科書</w:t>
            </w:r>
          </w:p>
          <w:tbl>
            <w:tblPr>
              <w:tblStyle w:val="10"/>
              <w:tblW w:w="9227" w:type="dxa"/>
              <w:tblCellSpacing w:w="15" w:type="dxa"/>
              <w:tblInd w:w="0" w:type="dxa"/>
              <w:tblLayout w:type="fixed"/>
              <w:tblCellMar>
                <w:top w:w="15" w:type="dxa"/>
                <w:left w:w="15" w:type="dxa"/>
                <w:bottom w:w="15" w:type="dxa"/>
                <w:right w:w="15" w:type="dxa"/>
              </w:tblCellMar>
            </w:tblPr>
            <w:tblGrid>
              <w:gridCol w:w="9227"/>
            </w:tblGrid>
            <w:tr>
              <w:tblPrEx>
                <w:tblLayout w:type="fixed"/>
                <w:tblCellMar>
                  <w:top w:w="15" w:type="dxa"/>
                  <w:left w:w="15" w:type="dxa"/>
                  <w:bottom w:w="15" w:type="dxa"/>
                  <w:right w:w="15" w:type="dxa"/>
                </w:tblCellMar>
              </w:tblPrEx>
              <w:trPr>
                <w:tblCellSpacing w:w="15" w:type="dxa"/>
              </w:trPr>
              <w:tc>
                <w:tcPr>
                  <w:tcW w:w="9167" w:type="dxa"/>
                  <w:shd w:val="clear" w:color="auto" w:fill="EAEAEA"/>
                  <w:vAlign w:val="center"/>
                </w:tcPr>
                <w:p>
                  <w:pPr>
                    <w:widowControl/>
                    <w:jc w:val="left"/>
                    <w:rPr>
                      <w:kern w:val="0"/>
                      <w:sz w:val="24"/>
                    </w:rPr>
                  </w:pPr>
                </w:p>
              </w:tc>
            </w:tr>
            <w:tr>
              <w:tblPrEx>
                <w:tblLayout w:type="fixed"/>
                <w:tblCellMar>
                  <w:top w:w="15" w:type="dxa"/>
                  <w:left w:w="15" w:type="dxa"/>
                  <w:bottom w:w="15" w:type="dxa"/>
                  <w:right w:w="15" w:type="dxa"/>
                </w:tblCellMar>
              </w:tblPrEx>
              <w:trPr>
                <w:trHeight w:val="2895" w:hRule="atLeast"/>
                <w:tblCellSpacing w:w="15" w:type="dxa"/>
              </w:trPr>
              <w:tc>
                <w:tcPr>
                  <w:tcW w:w="9167" w:type="dxa"/>
                  <w:vAlign w:val="center"/>
                </w:tcPr>
                <w:tbl>
                  <w:tblPr>
                    <w:tblStyle w:val="10"/>
                    <w:tblW w:w="9137" w:type="dxa"/>
                    <w:tblCellSpacing w:w="15" w:type="dxa"/>
                    <w:tblInd w:w="0" w:type="dxa"/>
                    <w:tblLayout w:type="fixed"/>
                    <w:tblCellMar>
                      <w:top w:w="15" w:type="dxa"/>
                      <w:left w:w="15" w:type="dxa"/>
                      <w:bottom w:w="15" w:type="dxa"/>
                      <w:right w:w="15" w:type="dxa"/>
                    </w:tblCellMar>
                  </w:tblPr>
                  <w:tblGrid>
                    <w:gridCol w:w="9137"/>
                  </w:tblGrid>
                  <w:tr>
                    <w:tblPrEx>
                      <w:tblLayout w:type="fixed"/>
                      <w:tblCellMar>
                        <w:top w:w="15" w:type="dxa"/>
                        <w:left w:w="15" w:type="dxa"/>
                        <w:bottom w:w="15" w:type="dxa"/>
                        <w:right w:w="15" w:type="dxa"/>
                      </w:tblCellMar>
                    </w:tblPrEx>
                    <w:trPr>
                      <w:tblCellSpacing w:w="15" w:type="dxa"/>
                    </w:trPr>
                    <w:tc>
                      <w:tcPr>
                        <w:tcW w:w="9077" w:type="dxa"/>
                        <w:vAlign w:val="center"/>
                      </w:tcPr>
                      <w:tbl>
                        <w:tblPr>
                          <w:tblStyle w:val="10"/>
                          <w:tblW w:w="9047" w:type="dxa"/>
                          <w:tblCellSpacing w:w="0" w:type="dxa"/>
                          <w:tblInd w:w="0" w:type="dxa"/>
                          <w:tblLayout w:type="fixed"/>
                          <w:tblCellMar>
                            <w:top w:w="0" w:type="dxa"/>
                            <w:left w:w="0" w:type="dxa"/>
                            <w:bottom w:w="0" w:type="dxa"/>
                            <w:right w:w="0" w:type="dxa"/>
                          </w:tblCellMar>
                        </w:tblPr>
                        <w:tblGrid>
                          <w:gridCol w:w="9047"/>
                        </w:tblGrid>
                        <w:tr>
                          <w:tblPrEx>
                            <w:tblLayout w:type="fixed"/>
                            <w:tblCellMar>
                              <w:top w:w="0" w:type="dxa"/>
                              <w:left w:w="0" w:type="dxa"/>
                              <w:bottom w:w="0" w:type="dxa"/>
                              <w:right w:w="0" w:type="dxa"/>
                            </w:tblCellMar>
                          </w:tblPrEx>
                          <w:trPr>
                            <w:tblCellSpacing w:w="0" w:type="dxa"/>
                          </w:trPr>
                          <w:tc>
                            <w:tcPr>
                              <w:tcW w:w="9047" w:type="dxa"/>
                              <w:vAlign w:val="center"/>
                            </w:tcPr>
                            <w:tbl>
                              <w:tblPr>
                                <w:tblStyle w:val="10"/>
                                <w:tblW w:w="9031"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
                              <w:tblGrid>
                                <w:gridCol w:w="1364"/>
                                <w:gridCol w:w="1349"/>
                                <w:gridCol w:w="1788"/>
                                <w:gridCol w:w="909"/>
                                <w:gridCol w:w="1788"/>
                                <w:gridCol w:w="909"/>
                                <w:gridCol w:w="92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15" w:type="dxa"/>
                                </w:trPr>
                                <w:tc>
                                  <w:tcPr>
                                    <w:tcW w:w="1319" w:type="dxa"/>
                                    <w:vMerge w:val="restart"/>
                                    <w:tcBorders>
                                      <w:top w:val="outset" w:color="auto" w:sz="6" w:space="0"/>
                                      <w:left w:val="outset" w:color="auto" w:sz="6" w:space="0"/>
                                      <w:bottom w:val="outset" w:color="auto" w:sz="6" w:space="0"/>
                                      <w:right w:val="outset" w:color="auto" w:sz="6" w:space="0"/>
                                    </w:tcBorders>
                                    <w:vAlign w:val="center"/>
                                  </w:tcPr>
                                  <w:p>
                                    <w:r>
                                      <w:rPr>
                                        <w:rFonts w:ascii="ＭＳ 明朝" w:hAnsi="ＭＳ 明朝" w:cs="ＭＳ 明朝"/>
                                      </w:rPr>
                                      <w:t>教科書</w:t>
                                    </w:r>
                                  </w:p>
                                </w:tc>
                                <w:tc>
                                  <w:tcPr>
                                    <w:tcW w:w="1319" w:type="dxa"/>
                                    <w:tcBorders>
                                      <w:top w:val="outset" w:color="auto" w:sz="6" w:space="0"/>
                                      <w:left w:val="outset" w:color="auto" w:sz="6" w:space="0"/>
                                      <w:bottom w:val="outset" w:color="auto" w:sz="6" w:space="0"/>
                                      <w:right w:val="outset" w:color="auto" w:sz="6" w:space="0"/>
                                    </w:tcBorders>
                                    <w:vAlign w:val="center"/>
                                  </w:tcPr>
                                  <w:p>
                                    <w:r>
                                      <w:t>ISBN</w:t>
                                    </w:r>
                                  </w:p>
                                </w:tc>
                                <w:tc>
                                  <w:tcPr>
                                    <w:tcW w:w="6273" w:type="dxa"/>
                                    <w:gridSpan w:val="5"/>
                                    <w:tcBorders>
                                      <w:top w:val="outset" w:color="auto" w:sz="6" w:space="0"/>
                                      <w:left w:val="outset" w:color="auto" w:sz="6" w:space="0"/>
                                      <w:bottom w:val="outset" w:color="auto" w:sz="6" w:space="0"/>
                                      <w:right w:val="outset" w:color="auto" w:sz="6" w:space="0"/>
                                    </w:tcBorders>
                                    <w:vAlign w:val="center"/>
                                  </w:tcPr>
                                  <w:p>
                                    <w:r>
                                      <w:rPr>
                                        <w:rStyle w:val="15"/>
                                      </w:rPr>
                                      <w:t>9789880030598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15" w:type="dxa"/>
                                </w:trPr>
                                <w:tc>
                                  <w:tcPr>
                                    <w:tcW w:w="1319" w:type="dxa"/>
                                    <w:vMerge w:val="continue"/>
                                    <w:tcBorders>
                                      <w:top w:val="outset" w:color="auto" w:sz="6" w:space="0"/>
                                      <w:left w:val="outset" w:color="auto" w:sz="6" w:space="0"/>
                                      <w:bottom w:val="outset" w:color="auto" w:sz="6" w:space="0"/>
                                      <w:right w:val="outset" w:color="auto" w:sz="6" w:space="0"/>
                                    </w:tcBorders>
                                    <w:vAlign w:val="center"/>
                                  </w:tcPr>
                                  <w:p>
                                    <w:pPr>
                                      <w:rPr>
                                        <w:sz w:val="24"/>
                                      </w:rPr>
                                    </w:pPr>
                                  </w:p>
                                </w:tc>
                                <w:tc>
                                  <w:tcPr>
                                    <w:tcW w:w="1319" w:type="dxa"/>
                                    <w:tcBorders>
                                      <w:top w:val="outset" w:color="auto" w:sz="6" w:space="0"/>
                                      <w:left w:val="outset" w:color="auto" w:sz="6" w:space="0"/>
                                      <w:bottom w:val="outset" w:color="auto" w:sz="6" w:space="0"/>
                                      <w:right w:val="outset" w:color="auto" w:sz="6" w:space="0"/>
                                    </w:tcBorders>
                                    <w:vAlign w:val="center"/>
                                  </w:tcPr>
                                  <w:p>
                                    <w:r>
                                      <w:rPr>
                                        <w:rFonts w:ascii="ＭＳ 明朝" w:hAnsi="ＭＳ 明朝" w:cs="ＭＳ 明朝"/>
                                      </w:rPr>
                                      <w:t>書名</w:t>
                                    </w:r>
                                  </w:p>
                                </w:tc>
                                <w:tc>
                                  <w:tcPr>
                                    <w:tcW w:w="6273" w:type="dxa"/>
                                    <w:gridSpan w:val="5"/>
                                    <w:tcBorders>
                                      <w:top w:val="outset" w:color="auto" w:sz="6" w:space="0"/>
                                      <w:left w:val="outset" w:color="auto" w:sz="6" w:space="0"/>
                                      <w:bottom w:val="outset" w:color="auto" w:sz="6" w:space="0"/>
                                      <w:right w:val="outset" w:color="auto" w:sz="6" w:space="0"/>
                                    </w:tcBorders>
                                    <w:vAlign w:val="center"/>
                                  </w:tcPr>
                                  <w:p>
                                    <w:r>
                                      <w:rPr>
                                        <w:rStyle w:val="15"/>
                                        <w:sz w:val="27"/>
                                        <w:szCs w:val="27"/>
                                      </w:rPr>
                                      <w:t>English Firsthand 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15" w:type="dxa"/>
                                </w:trPr>
                                <w:tc>
                                  <w:tcPr>
                                    <w:tcW w:w="1319" w:type="dxa"/>
                                    <w:vMerge w:val="continue"/>
                                    <w:tcBorders>
                                      <w:top w:val="outset" w:color="auto" w:sz="6" w:space="0"/>
                                      <w:left w:val="outset" w:color="auto" w:sz="6" w:space="0"/>
                                      <w:bottom w:val="outset" w:color="auto" w:sz="6" w:space="0"/>
                                      <w:right w:val="outset" w:color="auto" w:sz="6" w:space="0"/>
                                    </w:tcBorders>
                                    <w:vAlign w:val="center"/>
                                  </w:tcPr>
                                  <w:p>
                                    <w:pPr>
                                      <w:rPr>
                                        <w:sz w:val="24"/>
                                      </w:rPr>
                                    </w:pPr>
                                  </w:p>
                                </w:tc>
                                <w:tc>
                                  <w:tcPr>
                                    <w:tcW w:w="1319" w:type="dxa"/>
                                    <w:tcBorders>
                                      <w:top w:val="outset" w:color="auto" w:sz="6" w:space="0"/>
                                      <w:left w:val="outset" w:color="auto" w:sz="6" w:space="0"/>
                                      <w:bottom w:val="outset" w:color="auto" w:sz="6" w:space="0"/>
                                      <w:right w:val="outset" w:color="auto" w:sz="6" w:space="0"/>
                                    </w:tcBorders>
                                    <w:vAlign w:val="center"/>
                                  </w:tcPr>
                                  <w:p>
                                    <w:r>
                                      <w:rPr>
                                        <w:rFonts w:ascii="ＭＳ 明朝" w:hAnsi="ＭＳ 明朝" w:cs="ＭＳ 明朝"/>
                                      </w:rPr>
                                      <w:t>著者名</w:t>
                                    </w:r>
                                  </w:p>
                                </w:tc>
                                <w:tc>
                                  <w:tcPr>
                                    <w:tcW w:w="1758" w:type="dxa"/>
                                    <w:tcBorders>
                                      <w:top w:val="outset" w:color="auto" w:sz="6" w:space="0"/>
                                      <w:left w:val="outset" w:color="auto" w:sz="6" w:space="0"/>
                                      <w:bottom w:val="outset" w:color="auto" w:sz="6" w:space="0"/>
                                      <w:right w:val="outset" w:color="auto" w:sz="6" w:space="0"/>
                                    </w:tcBorders>
                                    <w:vAlign w:val="center"/>
                                  </w:tcPr>
                                  <w:p>
                                    <w:pPr>
                                      <w:rPr>
                                        <w:rStyle w:val="15"/>
                                      </w:rPr>
                                    </w:pPr>
                                    <w:r>
                                      <w:rPr>
                                        <w:rStyle w:val="15"/>
                                      </w:rPr>
                                      <w:t>Marc Helgensen, Steven Brown</w:t>
                                    </w:r>
                                  </w:p>
                                  <w:p>
                                    <w:r>
                                      <w:rPr>
                                        <w:rStyle w:val="15"/>
                                      </w:rPr>
                                      <w:t>John Wiltshier</w:t>
                                    </w:r>
                                  </w:p>
                                </w:tc>
                                <w:tc>
                                  <w:tcPr>
                                    <w:tcW w:w="879" w:type="dxa"/>
                                    <w:tcBorders>
                                      <w:top w:val="outset" w:color="auto" w:sz="6" w:space="0"/>
                                      <w:left w:val="outset" w:color="auto" w:sz="6" w:space="0"/>
                                      <w:bottom w:val="outset" w:color="auto" w:sz="6" w:space="0"/>
                                      <w:right w:val="outset" w:color="auto" w:sz="6" w:space="0"/>
                                    </w:tcBorders>
                                    <w:vAlign w:val="center"/>
                                  </w:tcPr>
                                  <w:p>
                                    <w:pPr>
                                      <w:jc w:val="right"/>
                                    </w:pPr>
                                    <w:r>
                                      <w:rPr>
                                        <w:rFonts w:hint="eastAsia" w:ascii="ＭＳ 明朝" w:hAnsi="ＭＳ 明朝" w:cs="ＭＳ 明朝"/>
                                      </w:rPr>
                                      <w:t>出版</w:t>
                                    </w:r>
                                    <w:r>
                                      <w:rPr>
                                        <w:rFonts w:ascii="ＭＳ 明朝" w:hAnsi="ＭＳ 明朝" w:cs="ＭＳ 明朝"/>
                                      </w:rPr>
                                      <w:t>社</w:t>
                                    </w:r>
                                  </w:p>
                                </w:tc>
                                <w:tc>
                                  <w:tcPr>
                                    <w:tcW w:w="1758" w:type="dxa"/>
                                    <w:tcBorders>
                                      <w:top w:val="outset" w:color="auto" w:sz="6" w:space="0"/>
                                      <w:left w:val="outset" w:color="auto" w:sz="6" w:space="0"/>
                                      <w:bottom w:val="outset" w:color="auto" w:sz="6" w:space="0"/>
                                      <w:right w:val="outset" w:color="auto" w:sz="6" w:space="0"/>
                                    </w:tcBorders>
                                    <w:vAlign w:val="center"/>
                                  </w:tcPr>
                                  <w:p>
                                    <w:pPr>
                                      <w:jc w:val="left"/>
                                    </w:pPr>
                                    <w:r>
                                      <w:rPr>
                                        <w:rStyle w:val="15"/>
                                      </w:rPr>
                                      <w:t>Pearson Longman</w:t>
                                    </w:r>
                                  </w:p>
                                </w:tc>
                                <w:tc>
                                  <w:tcPr>
                                    <w:tcW w:w="879" w:type="dxa"/>
                                    <w:tcBorders>
                                      <w:top w:val="outset" w:color="auto" w:sz="6" w:space="0"/>
                                      <w:left w:val="outset" w:color="auto" w:sz="6" w:space="0"/>
                                      <w:bottom w:val="outset" w:color="auto" w:sz="6" w:space="0"/>
                                      <w:right w:val="outset" w:color="auto" w:sz="6" w:space="0"/>
                                    </w:tcBorders>
                                    <w:vAlign w:val="center"/>
                                  </w:tcPr>
                                  <w:p>
                                    <w:pPr>
                                      <w:jc w:val="right"/>
                                    </w:pPr>
                                    <w:r>
                                      <w:rPr>
                                        <w:rFonts w:hint="eastAsia" w:ascii="ＭＳ 明朝" w:hAnsi="ＭＳ 明朝" w:cs="ＭＳ 明朝"/>
                                      </w:rPr>
                                      <w:t>出版</w:t>
                                    </w:r>
                                    <w:r>
                                      <w:rPr>
                                        <w:rFonts w:ascii="ＭＳ 明朝" w:hAnsi="ＭＳ 明朝" w:cs="ＭＳ 明朝"/>
                                      </w:rPr>
                                      <w:t>年</w:t>
                                    </w:r>
                                  </w:p>
                                </w:tc>
                                <w:tc>
                                  <w:tcPr>
                                    <w:tcW w:w="879" w:type="dxa"/>
                                    <w:tcBorders>
                                      <w:top w:val="outset" w:color="auto" w:sz="6" w:space="0"/>
                                      <w:left w:val="outset" w:color="auto" w:sz="6" w:space="0"/>
                                      <w:bottom w:val="outset" w:color="auto" w:sz="6" w:space="0"/>
                                      <w:right w:val="outset" w:color="auto" w:sz="6" w:space="0"/>
                                    </w:tcBorders>
                                    <w:vAlign w:val="center"/>
                                  </w:tcPr>
                                  <w:p>
                                    <w:pPr>
                                      <w:ind w:right="360"/>
                                    </w:pPr>
                                    <w:r>
                                      <w:t xml:space="preserve"> 2009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45" w:type="dxa"/>
                                    <w:left w:w="45" w:type="dxa"/>
                                    <w:bottom w:w="45" w:type="dxa"/>
                                    <w:right w:w="45" w:type="dxa"/>
                                  </w:tblCellMar>
                                </w:tblPrEx>
                                <w:trPr>
                                  <w:tblCellSpacing w:w="15" w:type="dxa"/>
                                </w:trPr>
                                <w:tc>
                                  <w:tcPr>
                                    <w:tcW w:w="1319" w:type="dxa"/>
                                    <w:vMerge w:val="continue"/>
                                    <w:tcBorders>
                                      <w:top w:val="outset" w:color="auto" w:sz="6" w:space="0"/>
                                      <w:left w:val="outset" w:color="auto" w:sz="6" w:space="0"/>
                                      <w:bottom w:val="outset" w:color="auto" w:sz="6" w:space="0"/>
                                      <w:right w:val="outset" w:color="auto" w:sz="6" w:space="0"/>
                                    </w:tcBorders>
                                    <w:vAlign w:val="center"/>
                                  </w:tcPr>
                                  <w:p>
                                    <w:pPr>
                                      <w:rPr>
                                        <w:sz w:val="24"/>
                                      </w:rPr>
                                    </w:pPr>
                                  </w:p>
                                </w:tc>
                                <w:tc>
                                  <w:tcPr>
                                    <w:tcW w:w="1319" w:type="dxa"/>
                                    <w:tcBorders>
                                      <w:top w:val="outset" w:color="auto" w:sz="6" w:space="0"/>
                                      <w:left w:val="outset" w:color="auto" w:sz="6" w:space="0"/>
                                      <w:bottom w:val="outset" w:color="auto" w:sz="6" w:space="0"/>
                                      <w:right w:val="outset" w:color="auto" w:sz="6" w:space="0"/>
                                    </w:tcBorders>
                                    <w:vAlign w:val="center"/>
                                  </w:tcPr>
                                  <w:p>
                                    <w:pPr>
                                      <w:rPr>
                                        <w:sz w:val="24"/>
                                      </w:rPr>
                                    </w:pPr>
                                    <w:r>
                                      <w:rPr>
                                        <w:rFonts w:ascii="ＭＳ 明朝" w:hAnsi="ＭＳ 明朝" w:cs="ＭＳ 明朝"/>
                                      </w:rPr>
                                      <w:t>備考</w:t>
                                    </w:r>
                                  </w:p>
                                </w:tc>
                                <w:tc>
                                  <w:tcPr>
                                    <w:tcW w:w="6273" w:type="dxa"/>
                                    <w:gridSpan w:val="5"/>
                                    <w:tcBorders>
                                      <w:top w:val="outset" w:color="auto" w:sz="6" w:space="0"/>
                                      <w:left w:val="outset" w:color="auto" w:sz="6" w:space="0"/>
                                      <w:bottom w:val="outset" w:color="auto" w:sz="6" w:space="0"/>
                                      <w:right w:val="outset" w:color="auto" w:sz="6" w:space="0"/>
                                    </w:tcBorders>
                                    <w:vAlign w:val="center"/>
                                  </w:tcPr>
                                  <w:p/>
                                </w:tc>
                              </w:tr>
                            </w:tbl>
                            <w:p>
                              <w:pPr>
                                <w:rPr>
                                  <w:sz w:val="24"/>
                                </w:rPr>
                              </w:pPr>
                            </w:p>
                          </w:tc>
                        </w:tr>
                      </w:tbl>
                      <w:p>
                        <w:pPr>
                          <w:rPr>
                            <w:sz w:val="24"/>
                          </w:rPr>
                        </w:pPr>
                      </w:p>
                    </w:tc>
                  </w:tr>
                  <w:tr>
                    <w:tblPrEx>
                      <w:tblLayout w:type="fixed"/>
                      <w:tblCellMar>
                        <w:top w:w="15" w:type="dxa"/>
                        <w:left w:w="15" w:type="dxa"/>
                        <w:bottom w:w="15" w:type="dxa"/>
                        <w:right w:w="15" w:type="dxa"/>
                      </w:tblCellMar>
                    </w:tblPrEx>
                    <w:trPr>
                      <w:tblCellSpacing w:w="15" w:type="dxa"/>
                    </w:trPr>
                    <w:tc>
                      <w:tcPr>
                        <w:tcW w:w="9077" w:type="dxa"/>
                        <w:vAlign w:val="center"/>
                      </w:tcPr>
                      <w:p>
                        <w:pPr>
                          <w:rPr>
                            <w:sz w:val="20"/>
                            <w:szCs w:val="20"/>
                          </w:rPr>
                        </w:pPr>
                      </w:p>
                    </w:tc>
                  </w:tr>
                </w:tbl>
                <w:p>
                  <w:pPr>
                    <w:rPr>
                      <w:sz w:val="24"/>
                    </w:rPr>
                  </w:pPr>
                </w:p>
              </w:tc>
            </w:tr>
          </w:tbl>
          <w:p>
            <w:pPr>
              <w:jc w:val="left"/>
              <w:rPr>
                <w:rFonts w:ascii="ＭＳ Ｐゴシック" w:hAnsi="ＭＳ Ｐゴシック" w:eastAsia="ＭＳ Ｐゴシック"/>
                <w:sz w:val="24"/>
              </w:rPr>
            </w:pPr>
          </w:p>
          <w:p>
            <w:pPr>
              <w:jc w:val="left"/>
              <w:rPr>
                <w:rFonts w:asciiTheme="minorEastAsia" w:hAnsiTheme="minorEastAsia" w:eastAsiaTheme="minorEastAsia"/>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99" w:type="dxa"/>
            <w:bottom w:w="0" w:type="dxa"/>
            <w:right w:w="99" w:type="dxa"/>
          </w:tblCellMar>
        </w:tblPrEx>
        <w:trPr>
          <w:trHeight w:val="20" w:hRule="atLeast"/>
        </w:trPr>
        <w:tc>
          <w:tcPr>
            <w:tcW w:w="9425" w:type="dxa"/>
            <w:gridSpan w:val="8"/>
            <w:tcBorders>
              <w:top w:val="nil"/>
              <w:left w:val="single" w:color="auto" w:sz="12" w:space="0"/>
              <w:bottom w:val="single" w:color="auto" w:sz="4" w:space="0"/>
              <w:right w:val="single" w:color="auto" w:sz="12" w:space="0"/>
            </w:tcBorders>
            <w:shd w:val="clear" w:color="auto" w:fill="auto"/>
            <w:tcMar>
              <w:top w:w="28" w:type="dxa"/>
              <w:bottom w:w="28" w:type="dxa"/>
            </w:tcMar>
          </w:tcPr>
          <w:p>
            <w:pPr>
              <w:jc w:val="left"/>
              <w:rPr>
                <w:rFonts w:ascii="ＭＳ Ｐゴシック" w:hAnsi="ＭＳ Ｐゴシック" w:eastAsia="ＭＳ Ｐゴシック"/>
                <w:sz w:val="24"/>
              </w:rPr>
            </w:pPr>
            <w:r>
              <w:rPr>
                <w:rFonts w:hint="eastAsia" w:ascii="ＭＳ Ｐゴシック" w:eastAsia="ＭＳ Ｐゴシック"/>
                <w:b/>
                <w:sz w:val="24"/>
              </w:rPr>
              <w:t>参考書</w:t>
            </w:r>
          </w:p>
          <w:p>
            <w:pPr>
              <w:jc w:val="left"/>
              <w:rPr>
                <w:rFonts w:asciiTheme="minorEastAsia" w:hAnsiTheme="minorEastAsia" w:eastAsiaTheme="minorEastAsia"/>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99" w:type="dxa"/>
            <w:bottom w:w="0" w:type="dxa"/>
            <w:right w:w="99" w:type="dxa"/>
          </w:tblCellMar>
        </w:tblPrEx>
        <w:trPr>
          <w:trHeight w:val="20" w:hRule="atLeast"/>
        </w:trPr>
        <w:tc>
          <w:tcPr>
            <w:tcW w:w="9425" w:type="dxa"/>
            <w:gridSpan w:val="8"/>
            <w:tcBorders>
              <w:top w:val="nil"/>
              <w:left w:val="single" w:color="auto" w:sz="12" w:space="0"/>
              <w:bottom w:val="single" w:color="auto" w:sz="4" w:space="0"/>
              <w:right w:val="single" w:color="auto" w:sz="12" w:space="0"/>
            </w:tcBorders>
            <w:shd w:val="clear" w:color="auto" w:fill="auto"/>
            <w:tcMar>
              <w:top w:w="28" w:type="dxa"/>
              <w:bottom w:w="28" w:type="dxa"/>
            </w:tcMar>
          </w:tcPr>
          <w:p>
            <w:pPr>
              <w:jc w:val="left"/>
              <w:rPr>
                <w:rFonts w:ascii="ＭＳ Ｐゴシック" w:hAnsi="ＭＳ Ｐゴシック" w:eastAsia="ＭＳ Ｐゴシック"/>
                <w:sz w:val="24"/>
              </w:rPr>
            </w:pPr>
            <w:r>
              <w:rPr>
                <w:rFonts w:hint="eastAsia" w:ascii="ＭＳ Ｐゴシック" w:eastAsia="ＭＳ Ｐゴシック"/>
                <w:b/>
                <w:sz w:val="24"/>
              </w:rPr>
              <w:t>教科書・参考書に関する補足情報</w:t>
            </w:r>
          </w:p>
          <w:p>
            <w:pPr>
              <w:jc w:val="left"/>
              <w:rPr>
                <w:rFonts w:ascii="ＭＳ Ｐ明朝" w:hAnsi="ＭＳ Ｐ明朝" w:eastAsia="ＭＳ Ｐ明朝"/>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99" w:type="dxa"/>
            <w:bottom w:w="0" w:type="dxa"/>
            <w:right w:w="99" w:type="dxa"/>
          </w:tblCellMar>
        </w:tblPrEx>
        <w:trPr>
          <w:trHeight w:val="20" w:hRule="atLeast"/>
        </w:trPr>
        <w:tc>
          <w:tcPr>
            <w:tcW w:w="9425" w:type="dxa"/>
            <w:gridSpan w:val="8"/>
            <w:tcBorders>
              <w:top w:val="nil"/>
              <w:left w:val="single" w:color="auto" w:sz="12" w:space="0"/>
              <w:bottom w:val="single" w:color="auto" w:sz="4" w:space="0"/>
              <w:right w:val="single" w:color="auto" w:sz="12" w:space="0"/>
            </w:tcBorders>
            <w:shd w:val="clear" w:color="auto" w:fill="auto"/>
            <w:tcMar>
              <w:top w:w="28" w:type="dxa"/>
              <w:bottom w:w="28" w:type="dxa"/>
            </w:tcMar>
          </w:tcPr>
          <w:p>
            <w:pPr>
              <w:jc w:val="left"/>
              <w:rPr>
                <w:rFonts w:ascii="ＭＳ Ｐゴシック" w:eastAsia="ＭＳ Ｐゴシック"/>
                <w:b/>
                <w:sz w:val="24"/>
              </w:rPr>
            </w:pPr>
            <w:r>
              <w:rPr>
                <w:rFonts w:hint="eastAsia" w:ascii="ＭＳ Ｐゴシック" w:eastAsia="ＭＳ Ｐゴシック"/>
                <w:b/>
                <w:sz w:val="24"/>
              </w:rPr>
              <w:t>成績評価方法・基準</w:t>
            </w:r>
          </w:p>
          <w:p>
            <w:pPr>
              <w:jc w:val="left"/>
              <w:rPr>
                <w:rFonts w:ascii="ＭＳ Ｐゴシック" w:eastAsia="ＭＳ Ｐゴシック"/>
                <w:sz w:val="24"/>
              </w:rPr>
            </w:pPr>
            <w:r>
              <w:rPr>
                <w:rFonts w:ascii="ＭＳ Ｐゴシック" w:eastAsia="ＭＳ Ｐゴシック"/>
                <w:sz w:val="24"/>
              </w:rPr>
              <w:t>Weekly class participation, attendance, homework 70%</w:t>
            </w:r>
          </w:p>
          <w:p>
            <w:pPr>
              <w:jc w:val="left"/>
              <w:rPr>
                <w:rFonts w:ascii="ＭＳ Ｐゴシック" w:eastAsia="ＭＳ Ｐゴシック"/>
                <w:sz w:val="24"/>
              </w:rPr>
            </w:pPr>
            <w:r>
              <w:rPr>
                <w:rFonts w:ascii="ＭＳ Ｐゴシック" w:eastAsia="ＭＳ Ｐゴシック"/>
                <w:sz w:val="24"/>
              </w:rPr>
              <w:t>Mid-term and Final Evaluations: 30%</w:t>
            </w:r>
          </w:p>
          <w:p>
            <w:pPr>
              <w:jc w:val="left"/>
              <w:rPr>
                <w:rFonts w:asciiTheme="minorEastAsia" w:hAnsiTheme="minorEastAsia" w:eastAsiaTheme="minorEastAsia"/>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99" w:type="dxa"/>
            <w:bottom w:w="0" w:type="dxa"/>
            <w:right w:w="99" w:type="dxa"/>
          </w:tblCellMar>
        </w:tblPrEx>
        <w:trPr>
          <w:trHeight w:val="20" w:hRule="atLeast"/>
        </w:trPr>
        <w:tc>
          <w:tcPr>
            <w:tcW w:w="9425" w:type="dxa"/>
            <w:gridSpan w:val="8"/>
            <w:tcBorders>
              <w:top w:val="nil"/>
              <w:left w:val="single" w:color="auto" w:sz="12" w:space="0"/>
              <w:bottom w:val="single" w:color="auto" w:sz="4" w:space="0"/>
              <w:right w:val="single" w:color="auto" w:sz="12" w:space="0"/>
            </w:tcBorders>
            <w:shd w:val="clear" w:color="auto" w:fill="auto"/>
            <w:tcMar>
              <w:top w:w="28" w:type="dxa"/>
              <w:bottom w:w="28" w:type="dxa"/>
            </w:tcMar>
          </w:tcPr>
          <w:p>
            <w:pPr>
              <w:jc w:val="left"/>
              <w:rPr>
                <w:rFonts w:ascii="ＭＳ Ｐゴシック" w:hAnsi="ＭＳ Ｐゴシック" w:eastAsia="ＭＳ Ｐゴシック"/>
                <w:sz w:val="24"/>
              </w:rPr>
            </w:pPr>
            <w:r>
              <w:rPr>
                <w:rFonts w:hint="eastAsia" w:ascii="ＭＳ Ｐゴシック" w:eastAsia="ＭＳ Ｐゴシック"/>
                <w:b/>
                <w:sz w:val="24"/>
              </w:rPr>
              <w:t>再試験の有無</w:t>
            </w:r>
          </w:p>
          <w:p>
            <w:pPr>
              <w:tabs>
                <w:tab w:val="left" w:pos="64"/>
              </w:tabs>
              <w:jc w:val="left"/>
              <w:rPr>
                <w:rFonts w:asciiTheme="minorEastAsia" w:hAnsiTheme="minorEastAsia" w:eastAsiaTheme="minorEastAsia"/>
                <w:sz w:val="24"/>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99" w:type="dxa"/>
            <w:bottom w:w="0" w:type="dxa"/>
            <w:right w:w="99" w:type="dxa"/>
          </w:tblCellMar>
        </w:tblPrEx>
        <w:trPr>
          <w:trHeight w:val="20" w:hRule="atLeast"/>
        </w:trPr>
        <w:tc>
          <w:tcPr>
            <w:tcW w:w="9425" w:type="dxa"/>
            <w:gridSpan w:val="8"/>
            <w:tcBorders>
              <w:top w:val="nil"/>
              <w:left w:val="single" w:color="auto" w:sz="12" w:space="0"/>
              <w:bottom w:val="single" w:color="auto" w:sz="4" w:space="0"/>
              <w:right w:val="single" w:color="auto" w:sz="12" w:space="0"/>
            </w:tcBorders>
            <w:shd w:val="clear" w:color="auto" w:fill="auto"/>
            <w:tcMar>
              <w:top w:w="28" w:type="dxa"/>
              <w:bottom w:w="28" w:type="dxa"/>
            </w:tcMar>
          </w:tcPr>
          <w:p>
            <w:pPr>
              <w:jc w:val="left"/>
              <w:rPr>
                <w:rFonts w:ascii="ＭＳ Ｐゴシック" w:hAnsi="ＭＳ Ｐゴシック" w:eastAsia="ＭＳ Ｐゴシック"/>
                <w:sz w:val="24"/>
              </w:rPr>
            </w:pPr>
            <w:r>
              <w:rPr>
                <w:rFonts w:hint="eastAsia" w:ascii="ＭＳ Ｐゴシック" w:eastAsia="ＭＳ Ｐゴシック"/>
                <w:b/>
                <w:sz w:val="24"/>
              </w:rPr>
              <w:t>受講者へのメッセージ</w:t>
            </w:r>
          </w:p>
          <w:p>
            <w:pPr>
              <w:jc w:val="left"/>
              <w:rPr>
                <w:rFonts w:asciiTheme="minorEastAsia" w:hAnsiTheme="minorEastAsia" w:eastAsiaTheme="minorEastAsia"/>
                <w:sz w:val="24"/>
              </w:rPr>
            </w:pPr>
            <w:r>
              <w:rPr>
                <w:rFonts w:asciiTheme="minorEastAsia" w:hAnsiTheme="minorEastAsia" w:eastAsiaTheme="minorEastAsia"/>
                <w:sz w:val="24"/>
              </w:rPr>
              <w:t xml:space="preserve">I’m here to help you improve your English and have fun doing it. </w:t>
            </w:r>
            <w:r>
              <w:rPr>
                <w:rFonts w:hint="eastAsia" w:asciiTheme="minorEastAsia" w:hAnsiTheme="minorEastAsia" w:eastAsiaTheme="minorEastAsia"/>
                <w:sz w:val="24"/>
              </w:rPr>
              <w:t>宜しくお願い致します。</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99" w:type="dxa"/>
            <w:bottom w:w="0" w:type="dxa"/>
            <w:right w:w="99" w:type="dxa"/>
          </w:tblCellMar>
        </w:tblPrEx>
        <w:trPr>
          <w:trHeight w:val="20" w:hRule="atLeast"/>
        </w:trPr>
        <w:tc>
          <w:tcPr>
            <w:tcW w:w="9425" w:type="dxa"/>
            <w:gridSpan w:val="8"/>
            <w:tcBorders>
              <w:top w:val="single" w:color="auto" w:sz="12" w:space="0"/>
              <w:left w:val="single" w:color="auto" w:sz="12" w:space="0"/>
              <w:bottom w:val="single" w:color="auto" w:sz="4" w:space="0"/>
              <w:right w:val="single" w:color="auto" w:sz="12" w:space="0"/>
            </w:tcBorders>
            <w:shd w:val="clear" w:color="auto" w:fill="auto"/>
            <w:tcMar>
              <w:top w:w="28" w:type="dxa"/>
              <w:bottom w:w="28" w:type="dxa"/>
            </w:tcMar>
          </w:tcPr>
          <w:p>
            <w:pPr>
              <w:jc w:val="left"/>
              <w:rPr>
                <w:rFonts w:ascii="ＭＳ Ｐゴシック" w:hAnsi="ＭＳ Ｐゴシック" w:eastAsia="ＭＳ Ｐゴシック"/>
                <w:sz w:val="24"/>
              </w:rPr>
            </w:pPr>
            <w:r>
              <w:rPr>
                <w:rFonts w:hint="eastAsia" w:ascii="ＭＳ Ｐゴシック" w:eastAsia="ＭＳ Ｐゴシック"/>
                <w:b/>
                <w:sz w:val="24"/>
              </w:rPr>
              <w:t>自学自習(予習･復習)のアドバイス</w:t>
            </w:r>
          </w:p>
          <w:p>
            <w:pPr>
              <w:jc w:val="left"/>
              <w:rPr>
                <w:rFonts w:asciiTheme="minorEastAsia" w:hAnsiTheme="minorEastAsia" w:eastAsiaTheme="minorEastAsia"/>
                <w:sz w:val="18"/>
                <w:szCs w:val="18"/>
              </w:rPr>
            </w:pP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99" w:type="dxa"/>
            <w:bottom w:w="0" w:type="dxa"/>
            <w:right w:w="99" w:type="dxa"/>
          </w:tblCellMar>
        </w:tblPrEx>
        <w:trPr>
          <w:trHeight w:val="20" w:hRule="atLeast"/>
        </w:trPr>
        <w:tc>
          <w:tcPr>
            <w:tcW w:w="2355" w:type="dxa"/>
            <w:gridSpan w:val="2"/>
            <w:tcBorders>
              <w:top w:val="single" w:color="auto" w:sz="12" w:space="0"/>
              <w:left w:val="single" w:color="auto" w:sz="12" w:space="0"/>
              <w:bottom w:val="single" w:color="auto" w:sz="4" w:space="0"/>
              <w:right w:val="single" w:color="auto" w:sz="4" w:space="0"/>
            </w:tcBorders>
            <w:shd w:val="clear" w:color="auto" w:fill="auto"/>
            <w:tcMar>
              <w:top w:w="28" w:type="dxa"/>
              <w:bottom w:w="28" w:type="dxa"/>
            </w:tcMar>
          </w:tcPr>
          <w:p>
            <w:pPr>
              <w:jc w:val="center"/>
              <w:rPr>
                <w:rFonts w:ascii="ＭＳ Ｐゴシック" w:eastAsia="ＭＳ Ｐゴシック"/>
                <w:b/>
                <w:sz w:val="24"/>
              </w:rPr>
            </w:pPr>
            <w:r>
              <w:rPr>
                <w:rFonts w:hint="eastAsia" w:ascii="ＭＳ Ｐゴシック" w:eastAsia="ＭＳ Ｐゴシック"/>
                <w:b/>
                <w:sz w:val="24"/>
              </w:rPr>
              <w:t>WEBページ</w:t>
            </w:r>
          </w:p>
        </w:tc>
        <w:tc>
          <w:tcPr>
            <w:tcW w:w="7070" w:type="dxa"/>
            <w:gridSpan w:val="6"/>
            <w:tcBorders>
              <w:top w:val="single" w:color="auto" w:sz="12" w:space="0"/>
              <w:left w:val="single" w:color="auto" w:sz="4" w:space="0"/>
              <w:bottom w:val="single" w:color="auto" w:sz="4" w:space="0"/>
              <w:right w:val="single" w:color="auto" w:sz="12" w:space="0"/>
            </w:tcBorders>
            <w:shd w:val="clear" w:color="auto" w:fill="auto"/>
          </w:tcPr>
          <w:p>
            <w:pPr>
              <w:rPr>
                <w:rFonts w:ascii="ＭＳ Ｐ明朝" w:hAnsi="ＭＳ Ｐ明朝" w:eastAsia="ＭＳ Ｐ明朝"/>
                <w:sz w:val="24"/>
              </w:rPr>
            </w:pPr>
            <w:r>
              <w:rPr>
                <w:rFonts w:ascii="ＭＳ Ｐ明朝" w:hAnsi="ＭＳ Ｐ明朝" w:eastAsia="ＭＳ Ｐ明朝"/>
                <w:sz w:val="24"/>
              </w:rPr>
              <w:t>www.mcityenglish.com</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99" w:type="dxa"/>
            <w:bottom w:w="0" w:type="dxa"/>
            <w:right w:w="99" w:type="dxa"/>
          </w:tblCellMar>
        </w:tblPrEx>
        <w:trPr>
          <w:trHeight w:val="20" w:hRule="atLeast"/>
        </w:trPr>
        <w:tc>
          <w:tcPr>
            <w:tcW w:w="2355" w:type="dxa"/>
            <w:gridSpan w:val="2"/>
            <w:tcBorders>
              <w:top w:val="single" w:color="auto" w:sz="4" w:space="0"/>
              <w:left w:val="single" w:color="auto" w:sz="12" w:space="0"/>
              <w:bottom w:val="single" w:color="auto" w:sz="4" w:space="0"/>
              <w:right w:val="single" w:color="auto" w:sz="4" w:space="0"/>
            </w:tcBorders>
            <w:shd w:val="clear" w:color="auto" w:fill="auto"/>
            <w:tcMar>
              <w:top w:w="28" w:type="dxa"/>
              <w:bottom w:w="28" w:type="dxa"/>
            </w:tcMar>
          </w:tcPr>
          <w:p>
            <w:pPr>
              <w:jc w:val="center"/>
              <w:rPr>
                <w:rFonts w:ascii="ＭＳ Ｐゴシック" w:eastAsia="ＭＳ Ｐゴシック"/>
                <w:b/>
                <w:sz w:val="24"/>
              </w:rPr>
            </w:pPr>
            <w:r>
              <w:rPr>
                <w:rFonts w:hint="eastAsia" w:ascii="ＭＳ Ｐゴシック" w:eastAsia="ＭＳ Ｐゴシック"/>
                <w:b/>
                <w:sz w:val="24"/>
              </w:rPr>
              <w:t>連絡先</w:t>
            </w:r>
            <w:r>
              <w:rPr>
                <w:rFonts w:hint="eastAsia" w:ascii="ＭＳ Ｐゴシック" w:eastAsia="ＭＳ Ｐゴシック"/>
                <w:sz w:val="24"/>
              </w:rPr>
              <w:t>（Eメールアドレス，オフィスアワー）</w:t>
            </w:r>
          </w:p>
          <w:p>
            <w:pPr>
              <w:jc w:val="center"/>
              <w:rPr>
                <w:rFonts w:ascii="ＭＳ Ｐゴシック" w:eastAsia="ＭＳ Ｐゴシック"/>
                <w:b/>
                <w:sz w:val="24"/>
              </w:rPr>
            </w:pPr>
          </w:p>
        </w:tc>
        <w:tc>
          <w:tcPr>
            <w:tcW w:w="7070" w:type="dxa"/>
            <w:gridSpan w:val="6"/>
            <w:tcBorders>
              <w:top w:val="single" w:color="auto" w:sz="4" w:space="0"/>
              <w:left w:val="single" w:color="auto" w:sz="4" w:space="0"/>
              <w:bottom w:val="single" w:color="auto" w:sz="4" w:space="0"/>
              <w:right w:val="single" w:color="auto" w:sz="12" w:space="0"/>
            </w:tcBorders>
            <w:shd w:val="clear" w:color="auto" w:fill="auto"/>
          </w:tcPr>
          <w:p>
            <w:pPr>
              <w:jc w:val="left"/>
              <w:rPr>
                <w:rFonts w:ascii="ＭＳ Ｐ明朝" w:hAnsi="ＭＳ Ｐ明朝" w:eastAsia="ＭＳ Ｐ明朝"/>
                <w:sz w:val="24"/>
              </w:rPr>
            </w:pPr>
            <w:r>
              <w:rPr>
                <w:rFonts w:ascii="ＭＳ Ｐ明朝" w:hAnsi="ＭＳ Ｐ明朝" w:eastAsia="ＭＳ Ｐ明朝"/>
                <w:sz w:val="24"/>
              </w:rPr>
              <w:t xml:space="preserve">(学生用連絡先) </w:t>
            </w:r>
          </w:p>
          <w:p>
            <w:pPr>
              <w:jc w:val="left"/>
              <w:rPr>
                <w:rFonts w:cs="メイリオ" w:asciiTheme="minorEastAsia" w:hAnsiTheme="minorEastAsia" w:eastAsiaTheme="minorEastAsia"/>
                <w:color w:val="262626"/>
              </w:rPr>
            </w:pPr>
            <w:r>
              <w:rPr>
                <w:rFonts w:ascii="ＭＳ Ｐ明朝" w:hAnsi="ＭＳ Ｐ明朝" w:eastAsia="ＭＳ Ｐ明朝"/>
                <w:sz w:val="24"/>
              </w:rPr>
              <w:t>(メールアドレス)</w:t>
            </w:r>
            <w:r>
              <w:rPr>
                <w:rFonts w:hint="eastAsia" w:ascii="メイリオ" w:hAnsi="メイリオ" w:eastAsia="メイリオ" w:cs="メイリオ"/>
                <w:color w:val="262626"/>
              </w:rPr>
              <w:t xml:space="preserve"> </w:t>
            </w:r>
            <w:r>
              <w:fldChar w:fldCharType="begin"/>
            </w:r>
            <w:r>
              <w:instrText xml:space="preserve"> HYPERLINK "mailto:info@mcityenglish.com" </w:instrText>
            </w:r>
            <w:r>
              <w:fldChar w:fldCharType="separate"/>
            </w:r>
            <w:r>
              <w:rPr>
                <w:rStyle w:val="8"/>
                <w:rFonts w:ascii="メイリオ" w:hAnsi="メイリオ" w:eastAsia="メイリオ" w:cs="メイリオ"/>
              </w:rPr>
              <w:t>info@mcityenglish.com</w:t>
            </w:r>
            <w:r>
              <w:rPr>
                <w:rStyle w:val="8"/>
                <w:rFonts w:ascii="メイリオ" w:hAnsi="メイリオ" w:eastAsia="メイリオ" w:cs="メイリオ"/>
              </w:rPr>
              <w:fldChar w:fldCharType="end"/>
            </w:r>
          </w:p>
          <w:p>
            <w:pPr>
              <w:jc w:val="left"/>
              <w:rPr>
                <w:rFonts w:ascii="ＭＳ Ｐ明朝" w:hAnsi="ＭＳ Ｐ明朝" w:eastAsia="ＭＳ Ｐ明朝"/>
                <w:sz w:val="24"/>
              </w:rPr>
            </w:pPr>
            <w:r>
              <w:rPr>
                <w:rFonts w:ascii="ＭＳ Ｐ明朝" w:hAnsi="ＭＳ Ｐ明朝" w:eastAsia="ＭＳ Ｐ明朝"/>
                <w:sz w:val="24"/>
              </w:rPr>
              <w:t xml:space="preserve"> (オフィスアワー) Office hours by appointment only.</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99" w:type="dxa"/>
            <w:bottom w:w="0" w:type="dxa"/>
            <w:right w:w="99" w:type="dxa"/>
          </w:tblCellMar>
        </w:tblPrEx>
        <w:trPr>
          <w:trHeight w:val="20" w:hRule="atLeast"/>
        </w:trPr>
        <w:tc>
          <w:tcPr>
            <w:tcW w:w="2355" w:type="dxa"/>
            <w:gridSpan w:val="2"/>
            <w:tcBorders>
              <w:top w:val="single" w:color="auto" w:sz="4" w:space="0"/>
              <w:left w:val="single" w:color="auto" w:sz="12" w:space="0"/>
              <w:bottom w:val="single" w:color="auto" w:sz="18" w:space="0"/>
              <w:right w:val="single" w:color="auto" w:sz="4" w:space="0"/>
            </w:tcBorders>
            <w:shd w:val="clear" w:color="auto" w:fill="auto"/>
            <w:tcMar>
              <w:top w:w="28" w:type="dxa"/>
              <w:bottom w:w="28" w:type="dxa"/>
            </w:tcMar>
          </w:tcPr>
          <w:p>
            <w:pPr>
              <w:jc w:val="center"/>
              <w:rPr>
                <w:rFonts w:ascii="ＭＳ Ｐゴシック" w:eastAsia="ＭＳ Ｐゴシック"/>
                <w:b/>
                <w:sz w:val="24"/>
              </w:rPr>
            </w:pPr>
            <w:r>
              <w:rPr>
                <w:rFonts w:hint="eastAsia" w:ascii="ＭＳ Ｐゴシック" w:eastAsia="ＭＳ Ｐゴシック"/>
                <w:b/>
                <w:sz w:val="24"/>
              </w:rPr>
              <w:t>備考</w:t>
            </w:r>
          </w:p>
        </w:tc>
        <w:tc>
          <w:tcPr>
            <w:tcW w:w="7070" w:type="dxa"/>
            <w:gridSpan w:val="6"/>
            <w:tcBorders>
              <w:top w:val="single" w:color="auto" w:sz="4" w:space="0"/>
              <w:left w:val="single" w:color="auto" w:sz="4" w:space="0"/>
              <w:bottom w:val="single" w:color="auto" w:sz="18" w:space="0"/>
              <w:right w:val="single" w:color="auto" w:sz="12" w:space="0"/>
            </w:tcBorders>
            <w:shd w:val="clear" w:color="auto" w:fill="auto"/>
          </w:tcPr>
          <w:p>
            <w:pPr>
              <w:jc w:val="left"/>
              <w:rPr>
                <w:rFonts w:ascii="ＭＳ Ｐ明朝" w:hAnsi="ＭＳ Ｐ明朝" w:eastAsia="ＭＳ Ｐ明朝"/>
                <w:sz w:val="24"/>
              </w:rPr>
            </w:pPr>
          </w:p>
        </w:tc>
      </w:tr>
    </w:tbl>
    <w:p>
      <w:pPr>
        <w:rPr>
          <w:rFonts w:ascii="ＭＳ Ｐゴシック" w:eastAsia="ＭＳ Ｐゴシック"/>
          <w:sz w:val="24"/>
        </w:rPr>
      </w:pPr>
    </w:p>
    <w:sectPr>
      <w:type w:val="continuous"/>
      <w:pgSz w:w="11906" w:h="16838"/>
      <w:pgMar w:top="1134" w:right="1134" w:bottom="1134" w:left="1134" w:header="851" w:footer="992" w:gutter="0"/>
      <w:cols w:space="425" w:num="1"/>
      <w:docGrid w:type="linesAndChars" w:linePitch="286" w:charSpace="-385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ＭＳ Ｐゴシック">
    <w:panose1 w:val="020B0600070205080204"/>
    <w:charset w:val="80"/>
    <w:family w:val="modern"/>
    <w:pitch w:val="default"/>
    <w:sig w:usb0="E00002FF" w:usb1="6AC7FDFB" w:usb2="08000012" w:usb3="00000000" w:csb0="4002009F" w:csb1="DFD70000"/>
  </w:font>
  <w:font w:name="メイリオ">
    <w:panose1 w:val="020B0604030504040204"/>
    <w:charset w:val="80"/>
    <w:family w:val="modern"/>
    <w:pitch w:val="default"/>
    <w:sig w:usb0="E00002FF" w:usb1="6AC7FFFF" w:usb2="08000012" w:usb3="00000000" w:csb0="6002009F" w:csb1="DFD70000"/>
  </w:font>
  <w:font w:name="ＭＳ Ｐ明朝">
    <w:panose1 w:val="02020600040205080304"/>
    <w:charset w:val="80"/>
    <w:family w:val="roman"/>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C1E15"/>
    <w:multiLevelType w:val="multilevel"/>
    <w:tmpl w:val="2CDC1E1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840"/>
  <w:drawingGridHorizontalSpacing w:val="191"/>
  <w:drawingGridVerticalSpacing w:val="14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645"/>
    <w:rsid w:val="00014B69"/>
    <w:rsid w:val="000309C3"/>
    <w:rsid w:val="00032D9E"/>
    <w:rsid w:val="00084EFB"/>
    <w:rsid w:val="000948F6"/>
    <w:rsid w:val="000B327E"/>
    <w:rsid w:val="000E2696"/>
    <w:rsid w:val="00192DAA"/>
    <w:rsid w:val="001A3900"/>
    <w:rsid w:val="001E018B"/>
    <w:rsid w:val="001F4645"/>
    <w:rsid w:val="00205AFE"/>
    <w:rsid w:val="00235808"/>
    <w:rsid w:val="00245246"/>
    <w:rsid w:val="0025398D"/>
    <w:rsid w:val="00290300"/>
    <w:rsid w:val="00294FEA"/>
    <w:rsid w:val="002D4F33"/>
    <w:rsid w:val="002E40E1"/>
    <w:rsid w:val="00300542"/>
    <w:rsid w:val="00303B8B"/>
    <w:rsid w:val="00321952"/>
    <w:rsid w:val="00322C81"/>
    <w:rsid w:val="00356151"/>
    <w:rsid w:val="00364E80"/>
    <w:rsid w:val="00371B8D"/>
    <w:rsid w:val="00380B29"/>
    <w:rsid w:val="00394343"/>
    <w:rsid w:val="003A1B9C"/>
    <w:rsid w:val="003B3F8C"/>
    <w:rsid w:val="003B3FCA"/>
    <w:rsid w:val="003F3066"/>
    <w:rsid w:val="003F61AF"/>
    <w:rsid w:val="003F61E8"/>
    <w:rsid w:val="00437F93"/>
    <w:rsid w:val="004436EF"/>
    <w:rsid w:val="00494C10"/>
    <w:rsid w:val="004D1851"/>
    <w:rsid w:val="004D39D2"/>
    <w:rsid w:val="00554426"/>
    <w:rsid w:val="005632D5"/>
    <w:rsid w:val="00565B78"/>
    <w:rsid w:val="00573CF9"/>
    <w:rsid w:val="005A15D0"/>
    <w:rsid w:val="005B4880"/>
    <w:rsid w:val="005B7614"/>
    <w:rsid w:val="005C1C12"/>
    <w:rsid w:val="005C425B"/>
    <w:rsid w:val="005D270A"/>
    <w:rsid w:val="005E55DB"/>
    <w:rsid w:val="006039E5"/>
    <w:rsid w:val="00627128"/>
    <w:rsid w:val="006B0A8F"/>
    <w:rsid w:val="006C25C8"/>
    <w:rsid w:val="006E2CF6"/>
    <w:rsid w:val="006F650D"/>
    <w:rsid w:val="00713D6D"/>
    <w:rsid w:val="0075026C"/>
    <w:rsid w:val="00751CA7"/>
    <w:rsid w:val="007932A7"/>
    <w:rsid w:val="007A716F"/>
    <w:rsid w:val="007C1F38"/>
    <w:rsid w:val="007F09D9"/>
    <w:rsid w:val="007F4821"/>
    <w:rsid w:val="008005A0"/>
    <w:rsid w:val="00821EDC"/>
    <w:rsid w:val="0082252A"/>
    <w:rsid w:val="0082465A"/>
    <w:rsid w:val="00833DCB"/>
    <w:rsid w:val="00857A1C"/>
    <w:rsid w:val="008606AC"/>
    <w:rsid w:val="0091645E"/>
    <w:rsid w:val="00990BDF"/>
    <w:rsid w:val="009B4DEF"/>
    <w:rsid w:val="009C2F03"/>
    <w:rsid w:val="009F6361"/>
    <w:rsid w:val="00A02535"/>
    <w:rsid w:val="00A24309"/>
    <w:rsid w:val="00A24FA3"/>
    <w:rsid w:val="00A54A42"/>
    <w:rsid w:val="00A869DB"/>
    <w:rsid w:val="00A94678"/>
    <w:rsid w:val="00A95371"/>
    <w:rsid w:val="00AA20B6"/>
    <w:rsid w:val="00AE70A7"/>
    <w:rsid w:val="00AF27A2"/>
    <w:rsid w:val="00AF492A"/>
    <w:rsid w:val="00B00B5F"/>
    <w:rsid w:val="00B014D4"/>
    <w:rsid w:val="00B1386B"/>
    <w:rsid w:val="00B45731"/>
    <w:rsid w:val="00B5561A"/>
    <w:rsid w:val="00B609C4"/>
    <w:rsid w:val="00B64DCB"/>
    <w:rsid w:val="00B74B91"/>
    <w:rsid w:val="00B80308"/>
    <w:rsid w:val="00BE0677"/>
    <w:rsid w:val="00BF2E23"/>
    <w:rsid w:val="00C10BB7"/>
    <w:rsid w:val="00C43AFE"/>
    <w:rsid w:val="00C96763"/>
    <w:rsid w:val="00CB3BF0"/>
    <w:rsid w:val="00CC60A0"/>
    <w:rsid w:val="00CD0771"/>
    <w:rsid w:val="00CE2832"/>
    <w:rsid w:val="00D01EAB"/>
    <w:rsid w:val="00D10E7A"/>
    <w:rsid w:val="00D1498A"/>
    <w:rsid w:val="00D17D5E"/>
    <w:rsid w:val="00D35D07"/>
    <w:rsid w:val="00D56C56"/>
    <w:rsid w:val="00D64F28"/>
    <w:rsid w:val="00D822F7"/>
    <w:rsid w:val="00D832D6"/>
    <w:rsid w:val="00D97997"/>
    <w:rsid w:val="00DA2C66"/>
    <w:rsid w:val="00DF5150"/>
    <w:rsid w:val="00E03168"/>
    <w:rsid w:val="00E779E9"/>
    <w:rsid w:val="00E83FB3"/>
    <w:rsid w:val="00E95546"/>
    <w:rsid w:val="00ED0192"/>
    <w:rsid w:val="00ED5D89"/>
    <w:rsid w:val="00EE22B6"/>
    <w:rsid w:val="00EE3D09"/>
    <w:rsid w:val="00EF36D7"/>
    <w:rsid w:val="00F00C48"/>
    <w:rsid w:val="00F56825"/>
    <w:rsid w:val="00F66EBE"/>
    <w:rsid w:val="00F71E0B"/>
    <w:rsid w:val="00F93A1D"/>
    <w:rsid w:val="00FC0A4D"/>
    <w:rsid w:val="00FE66E7"/>
    <w:rsid w:val="2D502DC9"/>
    <w:rsid w:val="4C04707B"/>
    <w:rsid w:val="5BE462FF"/>
  </w:rsids>
  <m:mathPr>
    <m:lMargin m:val="0"/>
    <m:mathFont m:val="Cambria Math"/>
    <m:rMargin m:val="0"/>
    <m:wrapIndent m:val="1440"/>
    <m:brkBin m:val="before"/>
    <m:brkBinSub m:val="--"/>
    <m:defJc m:val="centerGroup"/>
    <m:intLim m:val="subSup"/>
    <m:naryLim m:val="undOvr"/>
    <m:smallFrac m:val="0"/>
    <m:dispDef/>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entury" w:hAnsi="Century" w:eastAsia="ＭＳ 明朝" w:cs="Times New Roman"/>
      <w:kern w:val="2"/>
      <w:sz w:val="21"/>
      <w:szCs w:val="24"/>
      <w:lang w:val="en-US" w:eastAsia="ja-JP" w:bidi="ar-SA"/>
    </w:rPr>
  </w:style>
  <w:style w:type="paragraph" w:styleId="2">
    <w:name w:val="heading 1"/>
    <w:basedOn w:val="1"/>
    <w:next w:val="1"/>
    <w:link w:val="13"/>
    <w:qFormat/>
    <w:uiPriority w:val="0"/>
    <w:pPr>
      <w:keepNext/>
      <w:outlineLvl w:val="0"/>
    </w:pPr>
    <w:rPr>
      <w:rFonts w:ascii="Arial" w:hAnsi="Arial" w:eastAsia="ＭＳ Ｐゴシック"/>
      <w:sz w:val="24"/>
    </w:rPr>
  </w:style>
  <w:style w:type="character" w:default="1" w:styleId="7">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Normal (Web)"/>
    <w:basedOn w:val="1"/>
    <w:unhideWhenUsed/>
    <w:uiPriority w:val="0"/>
    <w:rPr>
      <w:rFonts w:ascii="Times New Roman" w:hAnsi="Times New Roman"/>
      <w:sz w:val="24"/>
    </w:rPr>
  </w:style>
  <w:style w:type="paragraph" w:styleId="4">
    <w:name w:val="footer"/>
    <w:basedOn w:val="1"/>
    <w:link w:val="12"/>
    <w:qFormat/>
    <w:uiPriority w:val="0"/>
    <w:pPr>
      <w:tabs>
        <w:tab w:val="center" w:pos="4252"/>
        <w:tab w:val="right" w:pos="8504"/>
      </w:tabs>
      <w:snapToGrid w:val="0"/>
    </w:pPr>
  </w:style>
  <w:style w:type="paragraph" w:styleId="5">
    <w:name w:val="Balloon Text"/>
    <w:basedOn w:val="1"/>
    <w:link w:val="16"/>
    <w:qFormat/>
    <w:uiPriority w:val="0"/>
    <w:rPr>
      <w:rFonts w:asciiTheme="majorHAnsi" w:hAnsiTheme="majorHAnsi" w:eastAsiaTheme="majorEastAsia" w:cstheme="majorBidi"/>
      <w:sz w:val="18"/>
      <w:szCs w:val="18"/>
    </w:rPr>
  </w:style>
  <w:style w:type="paragraph" w:styleId="6">
    <w:name w:val="header"/>
    <w:basedOn w:val="1"/>
    <w:link w:val="11"/>
    <w:qFormat/>
    <w:uiPriority w:val="0"/>
    <w:pPr>
      <w:tabs>
        <w:tab w:val="center" w:pos="4252"/>
        <w:tab w:val="right" w:pos="8504"/>
      </w:tabs>
      <w:snapToGrid w:val="0"/>
    </w:pPr>
  </w:style>
  <w:style w:type="character" w:styleId="8">
    <w:name w:val="Hyperlink"/>
    <w:basedOn w:val="7"/>
    <w:qFormat/>
    <w:uiPriority w:val="0"/>
    <w:rPr>
      <w:color w:val="0000FF" w:themeColor="hyperlink"/>
      <w:u w:val="single"/>
      <w14:textFill>
        <w14:solidFill>
          <w14:schemeClr w14:val="hlink"/>
        </w14:solidFill>
      </w14:textFill>
    </w:rPr>
  </w:style>
  <w:style w:type="character" w:styleId="9">
    <w:name w:val="FollowedHyperlink"/>
    <w:basedOn w:val="7"/>
    <w:qFormat/>
    <w:uiPriority w:val="0"/>
    <w:rPr>
      <w:color w:val="800080" w:themeColor="followedHyperlink"/>
      <w:u w:val="single"/>
      <w14:textFill>
        <w14:solidFill>
          <w14:schemeClr w14:val="folHlink"/>
        </w14:solidFill>
      </w14:textFill>
    </w:rPr>
  </w:style>
  <w:style w:type="character" w:customStyle="1" w:styleId="11">
    <w:name w:val="Header Char"/>
    <w:basedOn w:val="7"/>
    <w:link w:val="6"/>
    <w:qFormat/>
    <w:uiPriority w:val="0"/>
    <w:rPr>
      <w:kern w:val="2"/>
      <w:sz w:val="21"/>
      <w:szCs w:val="24"/>
    </w:rPr>
  </w:style>
  <w:style w:type="character" w:customStyle="1" w:styleId="12">
    <w:name w:val="Footer Char"/>
    <w:basedOn w:val="7"/>
    <w:link w:val="4"/>
    <w:qFormat/>
    <w:uiPriority w:val="0"/>
    <w:rPr>
      <w:kern w:val="2"/>
      <w:sz w:val="21"/>
      <w:szCs w:val="24"/>
    </w:rPr>
  </w:style>
  <w:style w:type="character" w:customStyle="1" w:styleId="13">
    <w:name w:val="Heading 1 Char"/>
    <w:basedOn w:val="7"/>
    <w:link w:val="2"/>
    <w:qFormat/>
    <w:uiPriority w:val="0"/>
    <w:rPr>
      <w:rFonts w:ascii="Arial" w:hAnsi="Arial" w:eastAsia="ＭＳ Ｐゴシック" w:cs="Times New Roman"/>
      <w:kern w:val="2"/>
      <w:sz w:val="24"/>
      <w:szCs w:val="24"/>
    </w:rPr>
  </w:style>
  <w:style w:type="paragraph" w:customStyle="1" w:styleId="14">
    <w:name w:val="List Paragraph"/>
    <w:basedOn w:val="1"/>
    <w:qFormat/>
    <w:uiPriority w:val="34"/>
    <w:pPr>
      <w:ind w:left="840" w:leftChars="400"/>
    </w:pPr>
  </w:style>
  <w:style w:type="character" w:customStyle="1" w:styleId="15">
    <w:name w:val="sylrefer"/>
    <w:basedOn w:val="7"/>
    <w:qFormat/>
    <w:uiPriority w:val="0"/>
  </w:style>
  <w:style w:type="character" w:customStyle="1" w:styleId="16">
    <w:name w:val="Balloon Text Char"/>
    <w:basedOn w:val="7"/>
    <w:link w:val="5"/>
    <w:uiPriority w:val="0"/>
    <w:rPr>
      <w:rFonts w:asciiTheme="majorHAnsi" w:hAnsiTheme="majorHAnsi" w:eastAsiaTheme="majorEastAsia" w:cstheme="maj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509</Words>
  <Characters>2902</Characters>
  <Lines>24</Lines>
  <Paragraphs>6</Paragraphs>
  <ScaleCrop>false</ScaleCrop>
  <LinksUpToDate>false</LinksUpToDate>
  <CharactersWithSpaces>3405</CharactersWithSpaces>
  <Application>WPS Office_10.8.0.5745_F1E327BC-269C-435d-A152-05C5408002CA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2018-02-21T04:58:00Z</dcterms:created>
  <dc:creator>DreamCampus</dc:creator>
  <cp:lastModifiedBy>Trevor Mearns</cp:lastModifiedBy>
  <cp:lastPrinted>2018-01-15T02:40:00Z</cp:lastPrinted>
  <dcterms:modified xsi:type="dcterms:W3CDTF">2019-01-20T09:28:59Z</dcterms:modified>
  <dc:title>シラバス</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1041-10.8.0.5745</vt:lpwstr>
  </property>
</Properties>
</file>