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6"/>
        <w:gridCol w:w="839"/>
        <w:gridCol w:w="275"/>
        <w:gridCol w:w="1800"/>
        <w:gridCol w:w="277"/>
        <w:gridCol w:w="1521"/>
        <w:gridCol w:w="1666"/>
        <w:gridCol w:w="1531"/>
      </w:tblGrid>
      <w:tr w:rsidR="009C4B87" w:rsidRPr="00321952" w:rsidTr="009C4B87">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9C4B87" w:rsidRPr="00321952" w:rsidRDefault="00DF5150" w:rsidP="009C4B87">
            <w:pPr>
              <w:jc w:val="center"/>
              <w:rPr>
                <w:rFonts w:ascii="ＭＳ Ｐゴシック" w:eastAsia="ＭＳ Ｐゴシック"/>
                <w:b/>
                <w:sz w:val="24"/>
              </w:rPr>
            </w:pPr>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9C4B87" w:rsidRPr="00321952" w:rsidRDefault="003B3F8C" w:rsidP="00CC60A0">
            <w:pPr>
              <w:jc w:val="center"/>
              <w:rPr>
                <w:rFonts w:ascii="ＭＳ Ｐゴシック" w:eastAsia="ＭＳ Ｐゴシック"/>
                <w:b/>
                <w:sz w:val="24"/>
              </w:rPr>
            </w:pPr>
            <w:r>
              <w:rPr>
                <w:rFonts w:ascii="ＭＳ Ｐゴシック" w:eastAsia="ＭＳ Ｐゴシック" w:hint="eastAsia"/>
                <w:b/>
                <w:sz w:val="24"/>
              </w:rPr>
              <w:t>前期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9C4B87"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9C4B87" w:rsidRPr="00321952" w:rsidRDefault="00C96763" w:rsidP="009C4B87">
            <w:pPr>
              <w:rPr>
                <w:rFonts w:ascii="ＭＳ Ｐゴシック" w:eastAsia="ＭＳ Ｐゴシック"/>
                <w:b/>
                <w:sz w:val="24"/>
              </w:rPr>
            </w:pPr>
            <w:r>
              <w:rPr>
                <w:rFonts w:ascii="ＭＳ Ｐゴシック" w:eastAsia="ＭＳ Ｐゴシック" w:hint="eastAsia"/>
                <w:b/>
                <w:sz w:val="24"/>
              </w:rPr>
              <w:t>金</w:t>
            </w:r>
            <w:r w:rsidR="00771565">
              <w:rPr>
                <w:rFonts w:ascii="ＭＳ Ｐゴシック" w:eastAsia="ＭＳ Ｐゴシック" w:hint="eastAsia"/>
                <w:b/>
                <w:sz w:val="24"/>
              </w:rPr>
              <w:t>7</w:t>
            </w:r>
            <w:r w:rsidR="00B00B5F">
              <w:rPr>
                <w:rFonts w:ascii="ＭＳ Ｐゴシック" w:eastAsia="ＭＳ Ｐゴシック" w:hint="eastAsia"/>
                <w:b/>
                <w:sz w:val="24"/>
              </w:rPr>
              <w:t>・</w:t>
            </w:r>
            <w:r w:rsidR="00771565">
              <w:rPr>
                <w:rFonts w:ascii="ＭＳ Ｐゴシック" w:eastAsia="ＭＳ Ｐゴシック" w:hint="eastAsia"/>
                <w:b/>
                <w:sz w:val="24"/>
              </w:rPr>
              <w:t>8</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9C4B87"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9C4B87" w:rsidRPr="00321952" w:rsidRDefault="004D7935" w:rsidP="009C4B87">
            <w:pPr>
              <w:rPr>
                <w:rFonts w:ascii="ＭＳ Ｐゴシック" w:eastAsia="ＭＳ Ｐゴシック"/>
                <w:b/>
                <w:sz w:val="24"/>
              </w:rPr>
            </w:pPr>
            <w:r>
              <w:rPr>
                <w:rFonts w:ascii="ＭＳ Ｐゴシック" w:eastAsia="ＭＳ Ｐゴシック"/>
                <w:b/>
                <w:sz w:val="24"/>
              </w:rPr>
              <w:t>0012463</w:t>
            </w:r>
          </w:p>
        </w:tc>
      </w:tr>
      <w:tr w:rsidR="009C4B87" w:rsidRPr="00321952" w:rsidTr="009C4B87">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9C4B87" w:rsidRPr="00321952" w:rsidRDefault="00A24FA3" w:rsidP="009C4B87">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3F61E8">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外国語教育科目群・英語・基盤</w:t>
            </w:r>
            <w:r w:rsidR="003B3F8C">
              <w:rPr>
                <w:rFonts w:ascii="メイリオ" w:eastAsia="メイリオ" w:hAnsi="メイリオ" w:cs="メイリオ" w:hint="eastAsia"/>
                <w:color w:val="262626"/>
              </w:rPr>
              <w:t>英語</w:t>
            </w:r>
          </w:p>
        </w:tc>
      </w:tr>
      <w:tr w:rsidR="009C4B87" w:rsidRPr="00321952" w:rsidTr="009C4B87">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9C4B87" w:rsidRPr="00321952" w:rsidRDefault="00A24FA3" w:rsidP="009C4B87">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C96763">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基盤英語　Basic English</w:t>
            </w:r>
          </w:p>
        </w:tc>
      </w:tr>
      <w:tr w:rsidR="009C4B87" w:rsidRPr="00321952" w:rsidTr="009C4B87">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9C4B87" w:rsidRPr="00321952" w:rsidRDefault="00A24FA3" w:rsidP="009C4B87">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9C4B87" w:rsidRPr="00321952" w:rsidTr="009C4B87">
        <w:trPr>
          <w:trHeight w:val="20"/>
        </w:trPr>
        <w:tc>
          <w:tcPr>
            <w:tcW w:w="804" w:type="pct"/>
            <w:tcBorders>
              <w:left w:val="single" w:sz="12" w:space="0" w:color="auto"/>
              <w:bottom w:val="none" w:sz="4" w:space="0" w:color="auto"/>
            </w:tcBorders>
            <w:shd w:val="clear" w:color="auto" w:fill="auto"/>
            <w:tcMar>
              <w:top w:w="28" w:type="dxa"/>
              <w:bottom w:w="28" w:type="dxa"/>
            </w:tcMar>
          </w:tcPr>
          <w:p w:rsidR="009C4B87" w:rsidRPr="00321952" w:rsidRDefault="00A24FA3" w:rsidP="009C4B87">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9C4B87" w:rsidRPr="00321952" w:rsidRDefault="009F6361" w:rsidP="009C4B87">
            <w:pPr>
              <w:jc w:val="center"/>
              <w:rPr>
                <w:rFonts w:ascii="ＭＳ Ｐゴシック" w:eastAsia="ＭＳ Ｐゴシック"/>
                <w:b/>
                <w:sz w:val="24"/>
              </w:rPr>
            </w:pPr>
            <w:r>
              <w:rPr>
                <w:rFonts w:ascii="ＭＳ Ｐゴシック" w:eastAsia="ＭＳ Ｐゴシック" w:hint="eastAsia"/>
                <w:b/>
                <w:sz w:val="24"/>
              </w:rPr>
              <w:t>1</w:t>
            </w:r>
          </w:p>
        </w:tc>
        <w:tc>
          <w:tcPr>
            <w:tcW w:w="1248" w:type="pct"/>
            <w:gridSpan w:val="3"/>
            <w:tcBorders>
              <w:bottom w:val="single" w:sz="4" w:space="0" w:color="auto"/>
            </w:tcBorders>
            <w:shd w:val="clear" w:color="auto" w:fill="auto"/>
            <w:tcMar>
              <w:top w:w="28" w:type="dxa"/>
              <w:bottom w:w="28" w:type="dxa"/>
            </w:tcMar>
          </w:tcPr>
          <w:p w:rsidR="009C4B87"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9C4B87" w:rsidRPr="00321952" w:rsidRDefault="00771565" w:rsidP="009C4B87">
            <w:pPr>
              <w:jc w:val="center"/>
              <w:rPr>
                <w:rFonts w:ascii="ＭＳ Ｐゴシック" w:eastAsia="ＭＳ Ｐゴシック"/>
                <w:b/>
                <w:sz w:val="24"/>
              </w:rPr>
            </w:pPr>
            <w:r w:rsidRPr="00771565">
              <w:rPr>
                <w:rFonts w:ascii="ＭＳ Ｐゴシック" w:eastAsia="ＭＳ Ｐゴシック" w:hint="eastAsia"/>
                <w:b/>
                <w:sz w:val="24"/>
              </w:rPr>
              <w:t>理工(応化)１年</w:t>
            </w:r>
          </w:p>
        </w:tc>
      </w:tr>
      <w:tr w:rsidR="00DF5150" w:rsidRPr="00321952" w:rsidTr="009C4B87">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授業の目的</w:t>
            </w:r>
          </w:p>
          <w:p w:rsidR="009C4B87" w:rsidRPr="009C4B87" w:rsidRDefault="009C4B87"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To build upon English skills attained in High School and to develop greater confidence and ability in conversational skills.</w:t>
            </w:r>
          </w:p>
          <w:p w:rsidR="00DF5150" w:rsidRPr="00F71E0B" w:rsidRDefault="00DF5150" w:rsidP="003B3F8C">
            <w:pPr>
              <w:jc w:val="left"/>
              <w:rPr>
                <w:rFonts w:asciiTheme="minorEastAsia" w:eastAsiaTheme="minorEastAsia" w:hAnsiTheme="minorEastAsia"/>
                <w:noProof/>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授業の概要</w:t>
            </w:r>
          </w:p>
          <w:p w:rsidR="009C4B87" w:rsidRPr="00321952" w:rsidRDefault="009C4B87" w:rsidP="003F61E8">
            <w:pPr>
              <w:jc w:val="left"/>
              <w:rPr>
                <w:rFonts w:ascii="ＭＳ Ｐゴシック" w:eastAsia="ＭＳ Ｐゴシック" w:hAnsi="ＭＳ Ｐゴシック"/>
                <w:sz w:val="24"/>
              </w:rPr>
            </w:pPr>
            <w:r w:rsidRPr="00380B29">
              <w:rPr>
                <w:rFonts w:asciiTheme="majorHAnsi" w:eastAsia="ＭＳ Ｐゴシック" w:hAnsiTheme="majorHAnsi" w:cstheme="majorHAnsi"/>
                <w:sz w:val="26"/>
                <w:szCs w:val="26"/>
              </w:rPr>
              <w:t xml:space="preserve">The course will focus largely on the development of conversational skill based on </w:t>
            </w:r>
            <w:r w:rsidR="004D7935">
              <w:rPr>
                <w:rFonts w:asciiTheme="majorHAnsi" w:eastAsia="ＭＳ Ｐゴシック" w:hAnsiTheme="majorHAnsi" w:cstheme="majorHAnsi"/>
                <w:sz w:val="26"/>
                <w:szCs w:val="26"/>
              </w:rPr>
              <w:t xml:space="preserve">a variety of both everyday and </w:t>
            </w:r>
            <w:r w:rsidRPr="00380B29">
              <w:rPr>
                <w:rFonts w:asciiTheme="majorHAnsi" w:eastAsia="ＭＳ Ｐゴシック" w:hAnsiTheme="majorHAnsi" w:cstheme="majorHAnsi"/>
                <w:sz w:val="26"/>
                <w:szCs w:val="26"/>
              </w:rPr>
              <w:t>more specialized topics.</w:t>
            </w:r>
            <w:r>
              <w:rPr>
                <w:rFonts w:asciiTheme="majorHAnsi" w:eastAsia="ＭＳ Ｐゴシック" w:hAnsiTheme="majorHAnsi" w:cstheme="majorHAnsi"/>
                <w:sz w:val="26"/>
                <w:szCs w:val="26"/>
              </w:rPr>
              <w:t xml:space="preserve"> A textbook will be used to anchor the curriculum and direction of the class but further activities and materials will also be incorporated to expand on given points and to supplement the development of the four main skills of language: reading, writing, speaking and listening</w:t>
            </w:r>
            <w:r w:rsidR="004D7935">
              <w:rPr>
                <w:rFonts w:asciiTheme="majorHAnsi" w:eastAsia="ＭＳ Ｐゴシック" w:hAnsiTheme="majorHAnsi" w:cstheme="majorHAnsi"/>
                <w:sz w:val="26"/>
                <w:szCs w:val="26"/>
              </w:rPr>
              <w:t>.</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キーワード</w:t>
            </w:r>
          </w:p>
          <w:p w:rsidR="00DF5150" w:rsidRPr="00F71E0B" w:rsidRDefault="009C4B87"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t>授業の計画</w:t>
            </w:r>
          </w:p>
          <w:p w:rsidR="00D73BF3" w:rsidRPr="00ED5D89" w:rsidRDefault="00D73BF3" w:rsidP="00D73BF3">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Pr="00ED5D89">
              <w:rPr>
                <w:rFonts w:ascii="ＭＳ Ｐゴシック" w:eastAsia="ＭＳ Ｐゴシック"/>
                <w:sz w:val="24"/>
              </w:rPr>
              <w:t>self introductions with Q &amp; A session. All requirements concerning grammar and vocabulary will be introduced, practiced and reviewed.</w:t>
            </w:r>
          </w:p>
          <w:p w:rsidR="00D73BF3" w:rsidRPr="00ED5D89"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1 - </w:t>
            </w:r>
            <w:r>
              <w:rPr>
                <w:rFonts w:ascii="ＭＳ Ｐゴシック" w:eastAsia="ＭＳ Ｐゴシック"/>
                <w:b/>
                <w:sz w:val="24"/>
              </w:rPr>
              <w:t>“</w:t>
            </w:r>
            <w:r>
              <w:rPr>
                <w:rFonts w:ascii="ＭＳ Ｐゴシック" w:eastAsia="ＭＳ Ｐゴシック"/>
                <w:b/>
                <w:sz w:val="24"/>
              </w:rPr>
              <w:t>It</w:t>
            </w:r>
            <w:r>
              <w:rPr>
                <w:rFonts w:ascii="ＭＳ Ｐゴシック" w:eastAsia="ＭＳ Ｐゴシック"/>
                <w:b/>
                <w:sz w:val="24"/>
              </w:rPr>
              <w:t>’</w:t>
            </w:r>
            <w:r>
              <w:rPr>
                <w:rFonts w:ascii="ＭＳ Ｐゴシック" w:eastAsia="ＭＳ Ｐゴシック"/>
                <w:b/>
                <w:sz w:val="24"/>
              </w:rPr>
              <w:t>s Nice To Meet You</w:t>
            </w:r>
            <w:r>
              <w:rPr>
                <w:rFonts w:ascii="ＭＳ Ｐゴシック" w:eastAsia="ＭＳ Ｐゴシック"/>
                <w:b/>
                <w:sz w:val="24"/>
              </w:rPr>
              <w:t>”</w:t>
            </w:r>
            <w:r>
              <w:rPr>
                <w:rFonts w:ascii="ＭＳ Ｐゴシック" w:eastAsia="ＭＳ Ｐゴシック"/>
                <w:b/>
                <w:sz w:val="24"/>
              </w:rPr>
              <w:t xml:space="preserve"> : </w:t>
            </w:r>
            <w:r>
              <w:rPr>
                <w:rFonts w:ascii="ＭＳ Ｐゴシック" w:eastAsia="ＭＳ Ｐゴシック"/>
                <w:sz w:val="24"/>
              </w:rPr>
              <w:t>hobbies and interests, exchanging information, simple present question structures</w:t>
            </w:r>
          </w:p>
          <w:p w:rsidR="00D73BF3"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lastRenderedPageBreak/>
              <w:t xml:space="preserve">Unit 2 - Describing Appearance: </w:t>
            </w:r>
            <w:r>
              <w:rPr>
                <w:rFonts w:ascii="ＭＳ Ｐゴシック" w:eastAsia="ＭＳ Ｐゴシック"/>
                <w:sz w:val="24"/>
              </w:rPr>
              <w:t>practicing describing people and the appearance of things, be vs have verb use</w:t>
            </w:r>
          </w:p>
          <w:p w:rsidR="00D73BF3" w:rsidRPr="00ED5D89"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3 </w:t>
            </w:r>
            <w:r>
              <w:rPr>
                <w:rFonts w:ascii="ＭＳ Ｐゴシック" w:eastAsia="ＭＳ Ｐゴシック"/>
                <w:b/>
                <w:sz w:val="24"/>
              </w:rPr>
              <w:t>–</w:t>
            </w:r>
            <w:r>
              <w:rPr>
                <w:rFonts w:ascii="ＭＳ Ｐゴシック" w:eastAsia="ＭＳ Ｐゴシック"/>
                <w:b/>
                <w:sz w:val="24"/>
              </w:rPr>
              <w:t xml:space="preserve"> Daily Activities and Routines: </w:t>
            </w:r>
            <w:r>
              <w:rPr>
                <w:rFonts w:ascii="ＭＳ Ｐゴシック" w:eastAsia="ＭＳ Ｐゴシック"/>
                <w:sz w:val="24"/>
              </w:rPr>
              <w:t>discussing and inquiring about routines, adverbs of frequency</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4 </w:t>
            </w:r>
            <w:r>
              <w:rPr>
                <w:rFonts w:ascii="ＭＳ Ｐゴシック" w:eastAsia="ＭＳ Ｐゴシック"/>
                <w:b/>
                <w:sz w:val="24"/>
              </w:rPr>
              <w:t>–</w:t>
            </w:r>
            <w:r>
              <w:rPr>
                <w:rFonts w:ascii="ＭＳ Ｐゴシック" w:eastAsia="ＭＳ Ｐゴシック"/>
                <w:b/>
                <w:sz w:val="24"/>
              </w:rPr>
              <w:t xml:space="preserve"> Describing locations and relationships between objects: </w:t>
            </w:r>
            <w:r>
              <w:rPr>
                <w:rFonts w:ascii="ＭＳ Ｐゴシック" w:eastAsia="ＭＳ Ｐゴシック"/>
                <w:sz w:val="24"/>
              </w:rPr>
              <w:t xml:space="preserve">inferring objects and identifying locations, prepositions used with </w:t>
            </w:r>
            <w:r>
              <w:rPr>
                <w:rFonts w:ascii="ＭＳ Ｐゴシック" w:eastAsia="ＭＳ Ｐゴシック"/>
                <w:sz w:val="24"/>
              </w:rPr>
              <w:t>“</w:t>
            </w:r>
            <w:r>
              <w:rPr>
                <w:rFonts w:ascii="ＭＳ Ｐゴシック" w:eastAsia="ＭＳ Ｐゴシック"/>
                <w:sz w:val="24"/>
              </w:rPr>
              <w:t>There</w:t>
            </w:r>
            <w:r>
              <w:rPr>
                <w:rFonts w:ascii="ＭＳ Ｐゴシック" w:eastAsia="ＭＳ Ｐゴシック"/>
                <w:sz w:val="24"/>
              </w:rPr>
              <w:t>”</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5 </w:t>
            </w:r>
            <w:r>
              <w:rPr>
                <w:rFonts w:ascii="ＭＳ Ｐゴシック" w:eastAsia="ＭＳ Ｐゴシック"/>
                <w:b/>
                <w:sz w:val="24"/>
              </w:rPr>
              <w:t>–</w:t>
            </w:r>
            <w:r>
              <w:rPr>
                <w:rFonts w:ascii="ＭＳ Ｐゴシック" w:eastAsia="ＭＳ Ｐゴシック"/>
                <w:b/>
                <w:sz w:val="24"/>
              </w:rPr>
              <w:t xml:space="preserve"> Giving Directions:</w:t>
            </w:r>
            <w:r>
              <w:rPr>
                <w:rFonts w:ascii="ＭＳ Ｐゴシック" w:eastAsia="ＭＳ Ｐゴシック"/>
                <w:sz w:val="24"/>
              </w:rPr>
              <w:t xml:space="preserve"> following maps, asking for directions and combining prepositions with verbs of movement</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6 </w:t>
            </w:r>
            <w:r>
              <w:rPr>
                <w:rFonts w:ascii="ＭＳ Ｐゴシック" w:eastAsia="ＭＳ Ｐゴシック"/>
                <w:b/>
                <w:sz w:val="24"/>
              </w:rPr>
              <w:t>–</w:t>
            </w:r>
            <w:r>
              <w:rPr>
                <w:rFonts w:ascii="ＭＳ Ｐゴシック" w:eastAsia="ＭＳ Ｐゴシック"/>
                <w:b/>
                <w:sz w:val="24"/>
              </w:rPr>
              <w:t xml:space="preserve"> Discussing the Past: </w:t>
            </w:r>
            <w:r>
              <w:rPr>
                <w:rFonts w:ascii="ＭＳ Ｐゴシック" w:eastAsia="ＭＳ Ｐゴシック"/>
                <w:sz w:val="24"/>
              </w:rPr>
              <w:t>discussing past activities and life events, past tense irregular verbs</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1-6: </w:t>
            </w:r>
            <w:r>
              <w:rPr>
                <w:rFonts w:ascii="ＭＳ Ｐゴシック" w:eastAsia="ＭＳ Ｐゴシック"/>
                <w:sz w:val="24"/>
              </w:rPr>
              <w:t>based on student performance points in need of further practice will be reviewed. A mid term quiz will also be given</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7 </w:t>
            </w:r>
            <w:r>
              <w:rPr>
                <w:rFonts w:ascii="ＭＳ Ｐゴシック" w:eastAsia="ＭＳ Ｐゴシック"/>
                <w:b/>
                <w:sz w:val="24"/>
              </w:rPr>
              <w:t>–</w:t>
            </w:r>
            <w:r>
              <w:rPr>
                <w:rFonts w:ascii="ＭＳ Ｐゴシック" w:eastAsia="ＭＳ Ｐゴシック"/>
                <w:b/>
                <w:sz w:val="24"/>
              </w:rPr>
              <w:t xml:space="preserve"> Discussing Occupations:</w:t>
            </w:r>
            <w:r>
              <w:rPr>
                <w:rFonts w:ascii="ＭＳ Ｐゴシック" w:eastAsia="ＭＳ Ｐゴシック"/>
                <w:sz w:val="24"/>
              </w:rPr>
              <w:t xml:space="preserve"> describing and inquiring about different occupations, practice interviews, verbs and adjectives describing skills and talents</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Pr>
                <w:rFonts w:ascii="ＭＳ Ｐゴシック" w:eastAsia="ＭＳ Ｐゴシック"/>
                <w:b/>
                <w:sz w:val="24"/>
              </w:rPr>
              <w:t xml:space="preserve"> Discussing Entertainment: </w:t>
            </w:r>
            <w:r>
              <w:rPr>
                <w:rFonts w:ascii="ＭＳ Ｐゴシック" w:eastAsia="ＭＳ Ｐゴシック"/>
                <w:sz w:val="24"/>
              </w:rPr>
              <w:t>discussing and making plans, practicing invitations and discussing reasons to either decline or accept</w:t>
            </w:r>
          </w:p>
          <w:p w:rsidR="00D73BF3" w:rsidRPr="00A94678"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9 </w:t>
            </w:r>
            <w:r>
              <w:rPr>
                <w:rFonts w:ascii="ＭＳ Ｐゴシック" w:eastAsia="ＭＳ Ｐゴシック"/>
                <w:b/>
                <w:sz w:val="24"/>
              </w:rPr>
              <w:t>–</w:t>
            </w:r>
            <w:r>
              <w:rPr>
                <w:rFonts w:ascii="ＭＳ Ｐゴシック" w:eastAsia="ＭＳ Ｐゴシック"/>
                <w:b/>
                <w:sz w:val="24"/>
              </w:rPr>
              <w:t xml:space="preserve"> Discussing Future Plans and Activities: </w:t>
            </w:r>
            <w:r>
              <w:rPr>
                <w:rFonts w:ascii="ＭＳ Ｐゴシック" w:eastAsia="ＭＳ Ｐゴシック"/>
                <w:sz w:val="24"/>
              </w:rPr>
              <w:t>practicing the future tense in regard to plans</w:t>
            </w:r>
          </w:p>
          <w:p w:rsidR="00D73BF3" w:rsidRPr="00C10BB7"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10 </w:t>
            </w:r>
            <w:r>
              <w:rPr>
                <w:rFonts w:ascii="ＭＳ Ｐゴシック" w:eastAsia="ＭＳ Ｐゴシック"/>
                <w:b/>
                <w:sz w:val="24"/>
              </w:rPr>
              <w:t>–</w:t>
            </w:r>
            <w:r>
              <w:rPr>
                <w:rFonts w:ascii="ＭＳ Ｐゴシック" w:eastAsia="ＭＳ Ｐゴシック"/>
                <w:b/>
                <w:sz w:val="24"/>
              </w:rPr>
              <w:t xml:space="preserve"> Shopping: </w:t>
            </w:r>
            <w:r>
              <w:rPr>
                <w:rFonts w:ascii="ＭＳ Ｐゴシック" w:eastAsia="ＭＳ Ｐゴシック"/>
                <w:sz w:val="24"/>
              </w:rPr>
              <w:t>drilling vocabulary and phrases associated with inquiring about products and buying them, practice of comparative tense and intensifiers</w:t>
            </w:r>
          </w:p>
          <w:p w:rsidR="00D73BF3" w:rsidRPr="00C10BB7"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11 </w:t>
            </w:r>
            <w:r>
              <w:rPr>
                <w:rFonts w:ascii="ＭＳ Ｐゴシック" w:eastAsia="ＭＳ Ｐゴシック"/>
                <w:b/>
                <w:sz w:val="24"/>
              </w:rPr>
              <w:t>–</w:t>
            </w:r>
            <w:r>
              <w:rPr>
                <w:rFonts w:ascii="ＭＳ Ｐゴシック" w:eastAsia="ＭＳ Ｐゴシック"/>
                <w:b/>
                <w:sz w:val="24"/>
              </w:rPr>
              <w:t xml:space="preserve"> Describing Processes: </w:t>
            </w:r>
            <w:r>
              <w:rPr>
                <w:rFonts w:ascii="ＭＳ Ｐゴシック" w:eastAsia="ＭＳ Ｐゴシック"/>
                <w:sz w:val="24"/>
              </w:rPr>
              <w:t>describing sequential steps such as cooking or making origami in order to develop the skills to logically express how to complete a process from beginning to end</w:t>
            </w:r>
          </w:p>
          <w:p w:rsidR="00D73BF3" w:rsidRPr="007932A7"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12 </w:t>
            </w:r>
            <w:r>
              <w:rPr>
                <w:rFonts w:ascii="ＭＳ Ｐゴシック" w:eastAsia="ＭＳ Ｐゴシック"/>
                <w:b/>
                <w:sz w:val="24"/>
              </w:rPr>
              <w:t>–</w:t>
            </w:r>
            <w:r>
              <w:rPr>
                <w:rFonts w:ascii="ＭＳ Ｐゴシック" w:eastAsia="ＭＳ Ｐゴシック"/>
                <w:b/>
                <w:sz w:val="24"/>
              </w:rPr>
              <w:t xml:space="preserve"> Expressing Opinions: </w:t>
            </w:r>
            <w:r>
              <w:rPr>
                <w:rFonts w:ascii="ＭＳ Ｐゴシック" w:eastAsia="ＭＳ Ｐゴシック"/>
                <w:sz w:val="24"/>
              </w:rPr>
              <w:t>drilling vocabulary and its associated nuance in order to accurately express one</w:t>
            </w:r>
            <w:r>
              <w:rPr>
                <w:rFonts w:ascii="ＭＳ Ｐゴシック" w:eastAsia="ＭＳ Ｐゴシック"/>
                <w:sz w:val="24"/>
              </w:rPr>
              <w:t>’</w:t>
            </w:r>
            <w:r>
              <w:rPr>
                <w:rFonts w:ascii="ＭＳ Ｐゴシック" w:eastAsia="ＭＳ Ｐゴシック"/>
                <w:sz w:val="24"/>
              </w:rPr>
              <w:t>s opinion of something</w:t>
            </w:r>
          </w:p>
          <w:p w:rsidR="00D73BF3" w:rsidRPr="007932A7"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 xml:space="preserve">based on student performance points in need of further practice will </w:t>
            </w:r>
            <w:r>
              <w:rPr>
                <w:rFonts w:ascii="ＭＳ Ｐゴシック" w:eastAsia="ＭＳ Ｐゴシック"/>
                <w:sz w:val="24"/>
              </w:rPr>
              <w:lastRenderedPageBreak/>
              <w:t>be reviewed.</w:t>
            </w:r>
          </w:p>
          <w:p w:rsidR="00D73BF3" w:rsidRPr="00ED5D89" w:rsidRDefault="00D73BF3" w:rsidP="00D73BF3">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p w:rsidR="00D73BF3" w:rsidRPr="00321952" w:rsidRDefault="00D73BF3" w:rsidP="00321952">
            <w:pPr>
              <w:jc w:val="left"/>
              <w:rPr>
                <w:rFonts w:ascii="ＭＳ Ｐゴシック" w:eastAsia="ＭＳ Ｐゴシック"/>
                <w:b/>
                <w:sz w:val="24"/>
              </w:rPr>
            </w:pPr>
          </w:p>
          <w:p w:rsidR="00B00B5F" w:rsidRPr="00371B8D" w:rsidRDefault="00B00B5F" w:rsidP="00C96763">
            <w:pPr>
              <w:snapToGrid w:val="0"/>
              <w:rPr>
                <w:rFonts w:asciiTheme="minorEastAsia" w:eastAsiaTheme="minorEastAsia" w:hAnsiTheme="minorEastAsia"/>
                <w:b/>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lastRenderedPageBreak/>
              <w:t>教科書</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91"/>
              <w:gridCol w:w="1376"/>
              <w:gridCol w:w="1824"/>
              <w:gridCol w:w="927"/>
              <w:gridCol w:w="1824"/>
              <w:gridCol w:w="927"/>
              <w:gridCol w:w="942"/>
            </w:tblGrid>
            <w:tr w:rsidR="00D73BF3" w:rsidTr="00605321">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r>
                    <w:rPr>
                      <w:rStyle w:val="sylrefer"/>
                    </w:rPr>
                    <w:t>9789880030598</w:t>
                  </w:r>
                </w:p>
              </w:tc>
            </w:tr>
            <w:tr w:rsidR="00D73BF3" w:rsidTr="00605321">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r>
                    <w:rPr>
                      <w:rStyle w:val="sylrefer"/>
                      <w:sz w:val="27"/>
                      <w:szCs w:val="27"/>
                    </w:rPr>
                    <w:t>English Firsthand 1</w:t>
                  </w:r>
                </w:p>
              </w:tc>
            </w:tr>
            <w:tr w:rsidR="00D73BF3" w:rsidTr="00605321">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rPr>
                      <w:rStyle w:val="sylrefer"/>
                    </w:rPr>
                  </w:pPr>
                  <w:r>
                    <w:rPr>
                      <w:rStyle w:val="sylrefer"/>
                    </w:rPr>
                    <w:t>Marc Helgensen, Steven Brown</w:t>
                  </w:r>
                </w:p>
                <w:p w:rsidR="00D73BF3" w:rsidRDefault="00D73BF3" w:rsidP="00D73BF3">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ind w:right="360"/>
                  </w:pPr>
                  <w:r>
                    <w:t xml:space="preserve"> 2009</w:t>
                  </w:r>
                </w:p>
              </w:tc>
            </w:tr>
            <w:tr w:rsidR="00D73BF3" w:rsidTr="00605321">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D73BF3" w:rsidRDefault="00D73BF3" w:rsidP="00D73BF3"/>
              </w:tc>
            </w:tr>
          </w:tbl>
          <w:p w:rsidR="00D73BF3" w:rsidRPr="00321952" w:rsidRDefault="00D73BF3" w:rsidP="003F61E8">
            <w:pPr>
              <w:jc w:val="left"/>
              <w:rPr>
                <w:rFonts w:ascii="ＭＳ Ｐゴシック" w:eastAsia="ＭＳ Ｐゴシック" w:hAnsi="ＭＳ Ｐゴシック"/>
                <w:sz w:val="24"/>
              </w:rPr>
            </w:pP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成績評価方法・基準</w:t>
            </w:r>
          </w:p>
          <w:p w:rsidR="00D73BF3" w:rsidRPr="007932A7" w:rsidRDefault="00D73BF3" w:rsidP="00D73BF3">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D73BF3" w:rsidRPr="00D73BF3" w:rsidRDefault="00D73BF3" w:rsidP="003F61E8">
            <w:pPr>
              <w:jc w:val="left"/>
              <w:rPr>
                <w:rFonts w:ascii="ＭＳ Ｐゴシック" w:eastAsia="ＭＳ Ｐゴシック"/>
                <w:sz w:val="24"/>
              </w:rPr>
            </w:pPr>
            <w:r w:rsidRPr="007932A7">
              <w:rPr>
                <w:rFonts w:ascii="ＭＳ Ｐゴシック" w:eastAsia="ＭＳ Ｐゴシック"/>
                <w:sz w:val="24"/>
              </w:rPr>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rsidTr="009C4B87">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受講者へのメッセージ</w:t>
            </w:r>
          </w:p>
          <w:p w:rsidR="00DF5150" w:rsidRPr="00F71E0B" w:rsidRDefault="00D73BF3" w:rsidP="00B00B5F">
            <w:pPr>
              <w:jc w:val="left"/>
              <w:rPr>
                <w:rFonts w:asciiTheme="minorEastAsia" w:eastAsiaTheme="minorEastAsia" w:hAnsiTheme="minorEastAsia"/>
                <w:noProof/>
                <w:sz w:val="18"/>
                <w:szCs w:val="18"/>
              </w:rPr>
            </w:pPr>
            <w:bookmarkStart w:id="0" w:name="_GoBack"/>
            <w:bookmarkEnd w:id="0"/>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rsidTr="009C4B87">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9C4B87">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lastRenderedPageBreak/>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D73BF3"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9C4B87">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p>
          <w:p w:rsidR="00D73BF3" w:rsidRPr="00D73BF3" w:rsidRDefault="00D832D6" w:rsidP="00C96763">
            <w:pPr>
              <w:jc w:val="left"/>
              <w:rPr>
                <w:rFonts w:ascii="メイリオ" w:eastAsia="メイリオ" w:hAnsi="メイリオ"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r w:rsidR="00D73BF3">
              <w:rPr>
                <w:rFonts w:ascii="メイリオ" w:eastAsia="メイリオ" w:hAnsi="メイリオ" w:cs="メイリオ"/>
                <w:color w:val="262626"/>
              </w:rPr>
              <w:t>info@mcityenglish.com</w:t>
            </w:r>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D73BF3">
              <w:rPr>
                <w:rFonts w:ascii="ＭＳ Ｐ明朝" w:eastAsia="ＭＳ Ｐ明朝" w:hAnsi="ＭＳ Ｐ明朝"/>
                <w:noProof/>
                <w:sz w:val="24"/>
              </w:rPr>
              <w:t xml:space="preserve"> Office hours by appointment only.</w:t>
            </w:r>
          </w:p>
        </w:tc>
      </w:tr>
      <w:tr w:rsidR="00B609C4" w:rsidRPr="00321952" w:rsidTr="009C4B87">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71D" w:rsidRDefault="0051271D" w:rsidP="006B0A8F">
      <w:r>
        <w:separator/>
      </w:r>
    </w:p>
  </w:endnote>
  <w:endnote w:type="continuationSeparator" w:id="0">
    <w:p w:rsidR="0051271D" w:rsidRDefault="0051271D"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71D" w:rsidRDefault="0051271D" w:rsidP="006B0A8F">
      <w:r>
        <w:separator/>
      </w:r>
    </w:p>
  </w:footnote>
  <w:footnote w:type="continuationSeparator" w:id="0">
    <w:p w:rsidR="0051271D" w:rsidRDefault="0051271D"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7"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3"/>
  </w:num>
  <w:num w:numId="7">
    <w:abstractNumId w:val="9"/>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84EFB"/>
    <w:rsid w:val="000948F6"/>
    <w:rsid w:val="000E2696"/>
    <w:rsid w:val="00192DAA"/>
    <w:rsid w:val="001A3900"/>
    <w:rsid w:val="001E018B"/>
    <w:rsid w:val="001F4645"/>
    <w:rsid w:val="00205AFE"/>
    <w:rsid w:val="00235808"/>
    <w:rsid w:val="00235C1B"/>
    <w:rsid w:val="00245246"/>
    <w:rsid w:val="0025398D"/>
    <w:rsid w:val="00290300"/>
    <w:rsid w:val="00294FEA"/>
    <w:rsid w:val="002D4F33"/>
    <w:rsid w:val="002E40E1"/>
    <w:rsid w:val="00300542"/>
    <w:rsid w:val="00303B8B"/>
    <w:rsid w:val="00321952"/>
    <w:rsid w:val="00322C81"/>
    <w:rsid w:val="00356151"/>
    <w:rsid w:val="00364E80"/>
    <w:rsid w:val="00371B8D"/>
    <w:rsid w:val="00394343"/>
    <w:rsid w:val="003A1B9C"/>
    <w:rsid w:val="003B3F8C"/>
    <w:rsid w:val="003B3FCA"/>
    <w:rsid w:val="003F3066"/>
    <w:rsid w:val="003F61AF"/>
    <w:rsid w:val="003F61E8"/>
    <w:rsid w:val="00437F93"/>
    <w:rsid w:val="004436EF"/>
    <w:rsid w:val="00494C10"/>
    <w:rsid w:val="004D1851"/>
    <w:rsid w:val="004D39D2"/>
    <w:rsid w:val="004D7935"/>
    <w:rsid w:val="0051271D"/>
    <w:rsid w:val="00554426"/>
    <w:rsid w:val="005632D5"/>
    <w:rsid w:val="00565B78"/>
    <w:rsid w:val="00573CF9"/>
    <w:rsid w:val="00597F13"/>
    <w:rsid w:val="005A15D0"/>
    <w:rsid w:val="005B4880"/>
    <w:rsid w:val="005B7614"/>
    <w:rsid w:val="005C1C12"/>
    <w:rsid w:val="005C425B"/>
    <w:rsid w:val="005E55DB"/>
    <w:rsid w:val="006039E5"/>
    <w:rsid w:val="00605321"/>
    <w:rsid w:val="00627128"/>
    <w:rsid w:val="006B0A8F"/>
    <w:rsid w:val="006C25C8"/>
    <w:rsid w:val="006E2CF6"/>
    <w:rsid w:val="006F650D"/>
    <w:rsid w:val="00713D6D"/>
    <w:rsid w:val="0075026C"/>
    <w:rsid w:val="00771565"/>
    <w:rsid w:val="007A716F"/>
    <w:rsid w:val="007C1F38"/>
    <w:rsid w:val="007F09D9"/>
    <w:rsid w:val="007F4821"/>
    <w:rsid w:val="008005A0"/>
    <w:rsid w:val="00821EDC"/>
    <w:rsid w:val="0082252A"/>
    <w:rsid w:val="0082465A"/>
    <w:rsid w:val="00833DCB"/>
    <w:rsid w:val="00857A1C"/>
    <w:rsid w:val="008606AC"/>
    <w:rsid w:val="0091645E"/>
    <w:rsid w:val="00990BDF"/>
    <w:rsid w:val="009B4DEF"/>
    <w:rsid w:val="009C2F03"/>
    <w:rsid w:val="009C4B87"/>
    <w:rsid w:val="009F6361"/>
    <w:rsid w:val="00A02535"/>
    <w:rsid w:val="00A24309"/>
    <w:rsid w:val="00A24FA3"/>
    <w:rsid w:val="00A54A42"/>
    <w:rsid w:val="00A869DB"/>
    <w:rsid w:val="00A95371"/>
    <w:rsid w:val="00AA20B6"/>
    <w:rsid w:val="00AE70A7"/>
    <w:rsid w:val="00AF27A2"/>
    <w:rsid w:val="00AF492A"/>
    <w:rsid w:val="00B00B5F"/>
    <w:rsid w:val="00B014D4"/>
    <w:rsid w:val="00B45731"/>
    <w:rsid w:val="00B5561A"/>
    <w:rsid w:val="00B609C4"/>
    <w:rsid w:val="00B64DCB"/>
    <w:rsid w:val="00B74B91"/>
    <w:rsid w:val="00B80308"/>
    <w:rsid w:val="00BE0677"/>
    <w:rsid w:val="00BF2E23"/>
    <w:rsid w:val="00C43AFE"/>
    <w:rsid w:val="00C96763"/>
    <w:rsid w:val="00CB3BF0"/>
    <w:rsid w:val="00CC60A0"/>
    <w:rsid w:val="00CD0771"/>
    <w:rsid w:val="00CE2832"/>
    <w:rsid w:val="00D01EAB"/>
    <w:rsid w:val="00D10E7A"/>
    <w:rsid w:val="00D1498A"/>
    <w:rsid w:val="00D17D5E"/>
    <w:rsid w:val="00D56C56"/>
    <w:rsid w:val="00D64F28"/>
    <w:rsid w:val="00D73BF3"/>
    <w:rsid w:val="00D822F7"/>
    <w:rsid w:val="00D832D6"/>
    <w:rsid w:val="00D97997"/>
    <w:rsid w:val="00DA2C66"/>
    <w:rsid w:val="00DF5150"/>
    <w:rsid w:val="00E779E9"/>
    <w:rsid w:val="00E83FB3"/>
    <w:rsid w:val="00E95546"/>
    <w:rsid w:val="00ED0192"/>
    <w:rsid w:val="00EE22B6"/>
    <w:rsid w:val="00EE3D09"/>
    <w:rsid w:val="00EF36D7"/>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29CF9F2B-0904-4D13-B9DF-0ADCC6E0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500</Words>
  <Characters>2856</Characters>
  <Application>Microsoft Office Word</Application>
  <DocSecurity>0</DocSecurity>
  <Lines>23</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subject/>
  <dc:creator>DreamCampus</dc:creator>
  <cp:keywords/>
  <dc:description/>
  <cp:lastModifiedBy>Trevor Mearns</cp:lastModifiedBy>
  <cp:revision>1</cp:revision>
  <cp:lastPrinted>2018-01-15T02:40:00Z</cp:lastPrinted>
  <dcterms:created xsi:type="dcterms:W3CDTF">2018-02-21T09:17:00Z</dcterms:created>
  <dcterms:modified xsi:type="dcterms:W3CDTF">2018-03-13T06:13:00Z</dcterms:modified>
</cp:coreProperties>
</file>