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6BC57">
      <w:pPr>
        <w:spacing w:before="480" w:after="480" w:line="288" w:lineRule="auto"/>
        <w:rPr>
          <w:sz w:val="32"/>
          <w:szCs w:val="32"/>
        </w:rPr>
      </w:pPr>
      <w:r>
        <w:rPr>
          <w:rFonts w:ascii="Arial" w:hAnsi="Arial" w:eastAsia="等线" w:cs="Arial"/>
          <w:b/>
          <w:sz w:val="32"/>
          <w:szCs w:val="32"/>
        </w:rPr>
        <w:t>《金融与经济数据挖掘》作业3：二因子模型</w:t>
      </w:r>
    </w:p>
    <w:p w14:paraId="50C422DB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ascii="宋体" w:hAnsi="宋体" w:eastAsia="宋体" w:cs="Arial"/>
          <w:szCs w:val="21"/>
        </w:rPr>
        <w:t>学习课件、教材及参考资料，上网调研，完成以下工作：</w:t>
      </w:r>
    </w:p>
    <w:p w14:paraId="745B570A">
      <w:pPr>
        <w:spacing w:before="120" w:after="120" w:line="288" w:lineRule="auto"/>
        <w:jc w:val="left"/>
        <w:rPr>
          <w:rFonts w:ascii="宋体" w:hAnsi="宋体" w:eastAsia="宋体" w:cs="Arial"/>
          <w:b/>
          <w:bCs/>
          <w:szCs w:val="21"/>
        </w:rPr>
      </w:pPr>
      <w:r>
        <w:rPr>
          <w:rFonts w:hint="eastAsia" w:ascii="宋体" w:hAnsi="宋体" w:eastAsia="宋体" w:cs="Arial"/>
          <w:b/>
          <w:bCs/>
          <w:szCs w:val="21"/>
        </w:rPr>
        <w:t>一、实验目的</w:t>
      </w:r>
    </w:p>
    <w:p w14:paraId="6F27022E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掌握单因子</w:t>
      </w:r>
      <w:r>
        <w:rPr>
          <w:rFonts w:ascii="宋体" w:hAnsi="宋体" w:eastAsia="宋体" w:cs="Arial"/>
          <w:szCs w:val="21"/>
        </w:rPr>
        <w:t xml:space="preserve"> CAPM 模型与二因子模型的构建、回归与对比方法</w:t>
      </w:r>
    </w:p>
    <w:p w14:paraId="468BA01D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理解</w:t>
      </w:r>
      <w:r>
        <w:rPr>
          <w:rFonts w:ascii="宋体" w:hAnsi="宋体" w:eastAsia="宋体" w:cs="Arial"/>
          <w:szCs w:val="21"/>
        </w:rPr>
        <w:t xml:space="preserve">  估值因子（PETTM） 对股票收益的解释作用</w:t>
      </w:r>
    </w:p>
    <w:p w14:paraId="758A46AF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学会使用</w:t>
      </w:r>
      <w:r>
        <w:rPr>
          <w:rFonts w:ascii="宋体" w:hAnsi="宋体" w:eastAsia="宋体" w:cs="Arial"/>
          <w:szCs w:val="21"/>
        </w:rPr>
        <w:t xml:space="preserve"> Python 进行金融数据获取、异常值处理、回归分析</w:t>
      </w:r>
    </w:p>
    <w:p w14:paraId="72A5BC1E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基于二因子模型的估值逻辑，使用</w:t>
      </w:r>
      <w:r>
        <w:rPr>
          <w:rFonts w:ascii="宋体" w:hAnsi="宋体" w:eastAsia="宋体" w:cs="Arial"/>
          <w:szCs w:val="21"/>
        </w:rPr>
        <w:t>PEG 策略进行样本外回测，验证模型实践效果</w:t>
      </w:r>
    </w:p>
    <w:p w14:paraId="041A9B9E">
      <w:pPr>
        <w:widowControl/>
        <w:spacing w:line="360" w:lineRule="atLeast"/>
        <w:jc w:val="left"/>
        <w:outlineLvl w:val="2"/>
        <w:rPr>
          <w:rFonts w:ascii="宋体" w:hAnsi="宋体" w:eastAsia="宋体" w:cs="Arial"/>
          <w:b/>
          <w:bCs/>
          <w:color w:val="1F2329"/>
          <w:kern w:val="0"/>
          <w:szCs w:val="21"/>
        </w:rPr>
      </w:pPr>
      <w:r>
        <w:rPr>
          <w:rFonts w:ascii="宋体" w:hAnsi="宋体" w:eastAsia="宋体" w:cs="Arial"/>
          <w:b/>
          <w:bCs/>
          <w:color w:val="1F2329"/>
          <w:kern w:val="0"/>
          <w:szCs w:val="21"/>
        </w:rPr>
        <w:t>二、实验原理</w:t>
      </w:r>
    </w:p>
    <w:p w14:paraId="53CDF1A7">
      <w:pPr>
        <w:widowControl/>
        <w:spacing w:line="360" w:lineRule="atLeast"/>
        <w:jc w:val="left"/>
        <w:outlineLvl w:val="2"/>
        <w:rPr>
          <w:rFonts w:ascii="宋体" w:hAnsi="宋体" w:eastAsia="宋体" w:cs="Arial"/>
          <w:b/>
          <w:bCs/>
          <w:color w:val="1F2329"/>
          <w:kern w:val="0"/>
          <w:szCs w:val="21"/>
        </w:rPr>
      </w:pPr>
    </w:p>
    <w:p w14:paraId="3EEFB852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1.</w:t>
      </w:r>
      <w:r>
        <w:rPr>
          <w:rFonts w:ascii="宋体" w:hAnsi="宋体" w:eastAsia="宋体" w:cs="Arial"/>
          <w:szCs w:val="21"/>
        </w:rPr>
        <w:t xml:space="preserve"> 单因子 CAPM 模型</w:t>
      </w:r>
    </w:p>
    <w:p w14:paraId="52D01D71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drawing>
          <wp:inline distT="0" distB="0" distL="0" distR="0">
            <wp:extent cx="2853055" cy="411480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9569" cy="41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3F88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2.</w:t>
      </w:r>
      <w:r>
        <w:rPr>
          <w:rFonts w:ascii="宋体" w:hAnsi="宋体" w:eastAsia="宋体" w:cs="Arial"/>
          <w:szCs w:val="21"/>
        </w:rPr>
        <w:t xml:space="preserve"> 二因子模型（标准规范）</w:t>
      </w:r>
    </w:p>
    <w:p w14:paraId="314389B0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drawing>
          <wp:inline distT="0" distB="0" distL="0" distR="0">
            <wp:extent cx="4091305" cy="41084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532" cy="4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F4DC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ascii="宋体" w:hAnsi="宋体" w:eastAsia="宋体" w:cs="Arial"/>
          <w:szCs w:val="21"/>
        </w:rPr>
        <w:t>3</w:t>
      </w:r>
      <w:r>
        <w:rPr>
          <w:rFonts w:hint="eastAsia" w:ascii="宋体" w:hAnsi="宋体" w:eastAsia="宋体" w:cs="Arial"/>
          <w:szCs w:val="21"/>
        </w:rPr>
        <w:t>.</w:t>
      </w:r>
      <w:r>
        <w:rPr>
          <w:rFonts w:ascii="宋体" w:hAnsi="宋体" w:eastAsia="宋体" w:cs="Arial"/>
          <w:szCs w:val="21"/>
        </w:rPr>
        <w:t xml:space="preserve"> 市场因子：(Rm</w:t>
      </w:r>
      <w:r>
        <w:rPr>
          <w:rFonts w:hint="eastAsia" w:ascii="MS Gothic" w:hAnsi="MS Gothic" w:eastAsia="MS Gothic" w:cs="MS Gothic"/>
          <w:szCs w:val="21"/>
        </w:rPr>
        <w:t>​−</w:t>
      </w:r>
      <w:r>
        <w:rPr>
          <w:rFonts w:ascii="宋体" w:hAnsi="宋体" w:eastAsia="宋体" w:cs="Arial"/>
          <w:szCs w:val="21"/>
        </w:rPr>
        <w:t>Rf</w:t>
      </w:r>
      <w:r>
        <w:rPr>
          <w:rFonts w:hint="eastAsia" w:ascii="MS Gothic" w:hAnsi="MS Gothic" w:eastAsia="MS Gothic" w:cs="MS Gothic"/>
          <w:szCs w:val="21"/>
        </w:rPr>
        <w:t>​</w:t>
      </w:r>
      <w:r>
        <w:rPr>
          <w:rFonts w:ascii="宋体" w:hAnsi="宋体" w:eastAsia="宋体" w:cs="Arial"/>
          <w:szCs w:val="21"/>
        </w:rPr>
        <w:t>) 市场超额收益</w:t>
      </w:r>
    </w:p>
    <w:p w14:paraId="549855B1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4.</w:t>
      </w:r>
      <w:r>
        <w:rPr>
          <w:rFonts w:ascii="宋体" w:hAnsi="宋体" w:eastAsia="宋体" w:cs="Arial"/>
          <w:szCs w:val="21"/>
        </w:rPr>
        <w:t xml:space="preserve"> 估值因子：PETTM（滚动市盈率，衡量股票估值水平）</w:t>
      </w:r>
    </w:p>
    <w:p w14:paraId="731C42DC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ascii="宋体" w:hAnsi="宋体" w:eastAsia="宋体" w:cs="Arial"/>
          <w:szCs w:val="21"/>
        </w:rPr>
        <w:t>5</w:t>
      </w:r>
      <w:r>
        <w:rPr>
          <w:rFonts w:hint="eastAsia" w:ascii="宋体" w:hAnsi="宋体" w:eastAsia="宋体" w:cs="Arial"/>
          <w:szCs w:val="21"/>
        </w:rPr>
        <w:t>.</w:t>
      </w:r>
      <w:r>
        <w:rPr>
          <w:rFonts w:ascii="宋体" w:hAnsi="宋体" w:eastAsia="宋体" w:cs="Arial"/>
          <w:szCs w:val="21"/>
        </w:rPr>
        <w:t xml:space="preserve"> PEG 策略：基于估值与成长性的择时策略</w:t>
      </w:r>
    </w:p>
    <w:p w14:paraId="0BDB1A10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备注：</w:t>
      </w:r>
    </w:p>
    <w:p w14:paraId="5F2964BF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Ri：代表个股</w:t>
      </w:r>
      <w:bookmarkStart w:id="0" w:name="OLE_LINK1"/>
      <w:r>
        <w:rPr>
          <w:rFonts w:hint="eastAsia" w:ascii="宋体" w:hAnsi="宋体" w:eastAsia="宋体" w:cs="Arial"/>
          <w:szCs w:val="21"/>
        </w:rPr>
        <w:t>（计算中按每日收盘价格变化百分比算）</w:t>
      </w:r>
      <w:bookmarkEnd w:id="0"/>
    </w:p>
    <w:p w14:paraId="520AD28B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Rf：无风险资产，通常使用银行存款或国债的年化收益率</w:t>
      </w:r>
    </w:p>
    <w:p w14:paraId="043C1290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Rm：市场指数收益率，即大盘收益率（计算中按每日收盘价格变化百分比算）</w:t>
      </w:r>
    </w:p>
    <w:p w14:paraId="2D6353EC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</w:p>
    <w:p w14:paraId="549AC12F">
      <w:pPr>
        <w:spacing w:before="120" w:after="120" w:line="288" w:lineRule="auto"/>
        <w:jc w:val="left"/>
        <w:rPr>
          <w:rFonts w:ascii="宋体" w:hAnsi="宋体" w:eastAsia="宋体" w:cs="Arial"/>
          <w:b/>
          <w:bCs/>
          <w:szCs w:val="21"/>
        </w:rPr>
      </w:pPr>
      <w:r>
        <w:rPr>
          <w:rFonts w:hint="eastAsia" w:ascii="宋体" w:hAnsi="宋体" w:eastAsia="宋体" w:cs="Arial"/>
          <w:b/>
          <w:bCs/>
          <w:szCs w:val="21"/>
        </w:rPr>
        <w:t>三、实验数据</w:t>
      </w:r>
    </w:p>
    <w:p w14:paraId="11F5830C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1.</w:t>
      </w:r>
      <w:r>
        <w:rPr>
          <w:rFonts w:ascii="宋体" w:hAnsi="宋体" w:eastAsia="宋体" w:cs="Arial"/>
          <w:szCs w:val="21"/>
        </w:rPr>
        <w:t xml:space="preserve"> </w:t>
      </w:r>
      <w:r>
        <w:rPr>
          <w:rFonts w:hint="eastAsia" w:ascii="宋体" w:hAnsi="宋体" w:eastAsia="宋体" w:cs="Arial"/>
          <w:szCs w:val="21"/>
        </w:rPr>
        <w:t>数据来源：</w:t>
      </w:r>
      <w:r>
        <w:rPr>
          <w:rFonts w:ascii="宋体" w:hAnsi="宋体" w:eastAsia="宋体" w:cs="Arial"/>
          <w:szCs w:val="21"/>
        </w:rPr>
        <w:t>baostock 免费数据接口</w:t>
      </w:r>
    </w:p>
    <w:p w14:paraId="12B10E72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2.</w:t>
      </w:r>
      <w:r>
        <w:rPr>
          <w:rFonts w:ascii="宋体" w:hAnsi="宋体" w:eastAsia="宋体" w:cs="Arial"/>
          <w:szCs w:val="21"/>
        </w:rPr>
        <w:t xml:space="preserve"> </w:t>
      </w:r>
      <w:r>
        <w:rPr>
          <w:rFonts w:hint="eastAsia" w:ascii="宋体" w:hAnsi="宋体" w:eastAsia="宋体" w:cs="Arial"/>
          <w:szCs w:val="21"/>
        </w:rPr>
        <w:t>股票池：实验指定个股</w:t>
      </w:r>
    </w:p>
    <w:p w14:paraId="2D83EFE6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3.</w:t>
      </w:r>
      <w:r>
        <w:rPr>
          <w:rFonts w:ascii="宋体" w:hAnsi="宋体" w:eastAsia="宋体" w:cs="Arial"/>
          <w:szCs w:val="21"/>
        </w:rPr>
        <w:t xml:space="preserve"> </w:t>
      </w:r>
      <w:r>
        <w:rPr>
          <w:rFonts w:hint="eastAsia" w:ascii="宋体" w:hAnsi="宋体" w:eastAsia="宋体" w:cs="Arial"/>
          <w:szCs w:val="21"/>
        </w:rPr>
        <w:t>时间区间：样本内</w:t>
      </w:r>
      <w:r>
        <w:rPr>
          <w:rFonts w:ascii="宋体" w:hAnsi="宋体" w:eastAsia="宋体" w:cs="Arial"/>
          <w:szCs w:val="21"/>
        </w:rPr>
        <w:t xml:space="preserve"> + 样本外</w:t>
      </w:r>
    </w:p>
    <w:p w14:paraId="39972525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4.</w:t>
      </w:r>
      <w:r>
        <w:rPr>
          <w:rFonts w:ascii="宋体" w:hAnsi="宋体" w:eastAsia="宋体" w:cs="Arial"/>
          <w:szCs w:val="21"/>
        </w:rPr>
        <w:t xml:space="preserve"> </w:t>
      </w:r>
      <w:r>
        <w:rPr>
          <w:rFonts w:hint="eastAsia" w:ascii="宋体" w:hAnsi="宋体" w:eastAsia="宋体" w:cs="Arial"/>
          <w:szCs w:val="21"/>
        </w:rPr>
        <w:t>无风险利率：一年期定期存款利率（</w:t>
      </w:r>
      <w:r>
        <w:rPr>
          <w:rFonts w:ascii="宋体" w:hAnsi="宋体" w:eastAsia="宋体" w:cs="Arial"/>
          <w:szCs w:val="21"/>
        </w:rPr>
        <w:t>Rf</w:t>
      </w:r>
      <w:r>
        <w:rPr>
          <w:rFonts w:hint="eastAsia" w:ascii="MS Gothic" w:hAnsi="MS Gothic" w:eastAsia="MS Gothic" w:cs="MS Gothic"/>
          <w:szCs w:val="21"/>
        </w:rPr>
        <w:t>​</w:t>
      </w:r>
      <w:r>
        <w:rPr>
          <w:rFonts w:ascii="宋体" w:hAnsi="宋体" w:eastAsia="宋体" w:cs="Arial"/>
          <w:szCs w:val="21"/>
        </w:rPr>
        <w:t>=1.5%）</w:t>
      </w:r>
    </w:p>
    <w:p w14:paraId="194B857D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5.</w:t>
      </w:r>
      <w:r>
        <w:rPr>
          <w:rFonts w:ascii="宋体" w:hAnsi="宋体" w:eastAsia="宋体" w:cs="Arial"/>
          <w:szCs w:val="21"/>
        </w:rPr>
        <w:t xml:space="preserve"> </w:t>
      </w:r>
      <w:r>
        <w:rPr>
          <w:rFonts w:hint="eastAsia" w:ascii="宋体" w:hAnsi="宋体" w:eastAsia="宋体" w:cs="Arial"/>
          <w:szCs w:val="21"/>
        </w:rPr>
        <w:t>数据字段：收盘价、</w:t>
      </w:r>
      <w:r>
        <w:rPr>
          <w:rFonts w:ascii="宋体" w:hAnsi="宋体" w:eastAsia="宋体" w:cs="Arial"/>
          <w:szCs w:val="21"/>
        </w:rPr>
        <w:t>PETTM、指数收益率</w:t>
      </w:r>
    </w:p>
    <w:p w14:paraId="10A89F02">
      <w:pPr>
        <w:spacing w:before="320" w:after="120" w:line="288" w:lineRule="auto"/>
        <w:jc w:val="left"/>
        <w:outlineLvl w:val="1"/>
        <w:rPr>
          <w:rFonts w:ascii="宋体" w:hAnsi="宋体" w:eastAsia="宋体" w:cs="Arial"/>
          <w:b/>
          <w:szCs w:val="21"/>
        </w:rPr>
      </w:pPr>
      <w:bookmarkStart w:id="1" w:name="heading_0"/>
      <w:r>
        <w:rPr>
          <w:rFonts w:hint="eastAsia" w:ascii="宋体" w:hAnsi="宋体" w:eastAsia="宋体" w:cs="Arial"/>
          <w:b/>
          <w:szCs w:val="21"/>
        </w:rPr>
        <w:t>四、实验步骤：</w:t>
      </w:r>
    </w:p>
    <w:p w14:paraId="0F7A0FD1">
      <w:pPr>
        <w:spacing w:before="320" w:after="120" w:line="288" w:lineRule="auto"/>
        <w:jc w:val="left"/>
        <w:outlineLvl w:val="1"/>
        <w:rPr>
          <w:rFonts w:ascii="宋体" w:hAnsi="宋体" w:eastAsia="宋体"/>
          <w:szCs w:val="21"/>
        </w:rPr>
      </w:pPr>
      <w:r>
        <w:rPr>
          <w:rFonts w:hint="eastAsia" w:ascii="宋体" w:hAnsi="宋体" w:eastAsia="宋体" w:cs="Arial"/>
          <w:b/>
          <w:szCs w:val="21"/>
        </w:rPr>
        <w:t>1.</w:t>
      </w:r>
      <w:r>
        <w:rPr>
          <w:rFonts w:ascii="宋体" w:hAnsi="宋体" w:eastAsia="宋体" w:cs="Arial"/>
          <w:b/>
          <w:szCs w:val="21"/>
        </w:rPr>
        <w:t xml:space="preserve"> 数据获取与方程拟合</w:t>
      </w:r>
      <w:bookmarkEnd w:id="1"/>
    </w:p>
    <w:p w14:paraId="58BD79C0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（1）使用baostock数据接口，通过Python编程，获取2018-2022年（共5年）6只股票（贵州茅台、中国石油、五粮液、泸州老窖、招商银行、美的集团）的日度收盘价数据，计算日价格变动收益率；获取上证指数日度收盘价数据，计算其日收益率作为市场因子（MKT）；同时获取无风险利率（建议使用一年期国债收益率，按日插值处理），计算个股超额收益率（Ri - Rf）和市场超额收益率（Rm - Rf），完成CAPM模型拟合。</w:t>
      </w:r>
    </w:p>
    <w:p w14:paraId="77F496C2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（2）获取上述6只股票的日频PETTM数据，对PETTM进行最大最小归一化处理（归一化公式：归一化后值 = (原始值 - 最小值) / (最大值 - 最小值)），消除量纲影响。</w:t>
      </w:r>
    </w:p>
    <w:p w14:paraId="7D4892C6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（3）</w:t>
      </w:r>
      <w:r>
        <w:rPr>
          <w:rFonts w:ascii="宋体" w:hAnsi="宋体" w:eastAsia="宋体" w:cs="Arial"/>
          <w:b/>
          <w:szCs w:val="21"/>
        </w:rPr>
        <w:t>修正说明</w:t>
      </w:r>
      <w:r>
        <w:rPr>
          <w:rFonts w:ascii="宋体" w:hAnsi="宋体" w:eastAsia="宋体" w:cs="Arial"/>
          <w:szCs w:val="21"/>
        </w:rPr>
        <w:t>：PETTM属于估值因子</w:t>
      </w:r>
      <w:r>
        <w:rPr>
          <w:rFonts w:hint="eastAsia" w:ascii="宋体" w:hAnsi="宋体" w:eastAsia="宋体" w:cs="Arial"/>
          <w:szCs w:val="21"/>
        </w:rPr>
        <w:t>。</w:t>
      </w:r>
      <w:r>
        <w:rPr>
          <w:rFonts w:ascii="宋体" w:hAnsi="宋体" w:eastAsia="宋体" w:cs="Arial"/>
          <w:szCs w:val="21"/>
        </w:rPr>
        <w:t>将CAPM模型扩展为二因子模型，新增PETTM（估值因子）作为第二个解释变量，构建方程：个股超额收益率（Ri - Rf）= α + β1×市场超额收益率（Rm - Rf）+ β2×归一化PETTM + ε，将个股超额收益拟合为市场超额收益和PETTM的线性函数。</w:t>
      </w:r>
    </w:p>
    <w:p w14:paraId="6433B156">
      <w:pPr>
        <w:spacing w:before="320" w:after="120" w:line="288" w:lineRule="auto"/>
        <w:jc w:val="left"/>
        <w:outlineLvl w:val="1"/>
        <w:rPr>
          <w:rFonts w:ascii="宋体" w:hAnsi="宋体" w:eastAsia="宋体"/>
          <w:szCs w:val="21"/>
        </w:rPr>
      </w:pPr>
      <w:bookmarkStart w:id="2" w:name="heading_1"/>
      <w:r>
        <w:rPr>
          <w:rFonts w:hint="eastAsia" w:ascii="宋体" w:hAnsi="宋体" w:eastAsia="宋体" w:cs="Arial"/>
          <w:b/>
          <w:szCs w:val="21"/>
        </w:rPr>
        <w:t>2.</w:t>
      </w:r>
      <w:r>
        <w:rPr>
          <w:rFonts w:ascii="宋体" w:hAnsi="宋体" w:eastAsia="宋体" w:cs="Arial"/>
          <w:b/>
          <w:szCs w:val="21"/>
        </w:rPr>
        <w:t xml:space="preserve"> 数据分析</w:t>
      </w:r>
      <w:bookmarkEnd w:id="2"/>
    </w:p>
    <w:p w14:paraId="54BFB01E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ascii="宋体" w:hAnsi="宋体" w:eastAsia="宋体" w:cs="Arial"/>
          <w:szCs w:val="21"/>
        </w:rPr>
        <w:t>对二因子模型拟合结果进行详细解释：</w:t>
      </w:r>
    </w:p>
    <w:p w14:paraId="08E297DB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ascii="宋体" w:hAnsi="宋体" w:eastAsia="宋体" w:cs="Arial"/>
          <w:szCs w:val="21"/>
        </w:rPr>
        <w:t>（1）各股票在PETTM（估值因子）上的因子暴露（β2系数）含义及大小分析（正/负暴露代表的意义、暴露程度差异原因）；</w:t>
      </w:r>
    </w:p>
    <w:p w14:paraId="6AD5BE32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（2）</w:t>
      </w:r>
      <w:r>
        <w:rPr>
          <w:rFonts w:ascii="宋体" w:hAnsi="宋体" w:eastAsia="宋体" w:cs="Arial"/>
          <w:szCs w:val="21"/>
        </w:rPr>
        <w:t>对比CAPM模型与二因子模型的α（阿尔法）系数，分析加入PETTM因子后，数据异象α是否减少及原因；</w:t>
      </w:r>
    </w:p>
    <w:p w14:paraId="2BAC0E70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 w:cs="Arial"/>
          <w:szCs w:val="21"/>
        </w:rPr>
        <w:t>（3）</w:t>
      </w:r>
      <w:r>
        <w:rPr>
          <w:rFonts w:ascii="宋体" w:hAnsi="宋体" w:eastAsia="宋体" w:cs="Arial"/>
          <w:szCs w:val="21"/>
        </w:rPr>
        <w:t xml:space="preserve"> 结合6只股票所属行业（白酒：茅台、五粮液、泸州老窖；能源：中国石油；金融：招商银行；家电：美的集团），分析不同行业股票的拟合结果差异及背后逻辑。</w:t>
      </w:r>
    </w:p>
    <w:p w14:paraId="02B2B72F">
      <w:pPr>
        <w:spacing w:before="320" w:after="120" w:line="288" w:lineRule="auto"/>
        <w:jc w:val="left"/>
        <w:outlineLvl w:val="1"/>
        <w:rPr>
          <w:rFonts w:ascii="宋体" w:hAnsi="宋体" w:eastAsia="宋体"/>
          <w:szCs w:val="21"/>
        </w:rPr>
      </w:pPr>
      <w:bookmarkStart w:id="3" w:name="heading_2"/>
      <w:r>
        <w:rPr>
          <w:rFonts w:hint="eastAsia" w:ascii="宋体" w:hAnsi="宋体" w:eastAsia="宋体" w:cs="Arial"/>
          <w:b/>
          <w:szCs w:val="21"/>
        </w:rPr>
        <w:t>3.</w:t>
      </w:r>
      <w:r>
        <w:rPr>
          <w:rFonts w:ascii="宋体" w:hAnsi="宋体" w:eastAsia="宋体" w:cs="Arial"/>
          <w:b/>
          <w:szCs w:val="21"/>
        </w:rPr>
        <w:t xml:space="preserve"> 回测</w:t>
      </w:r>
      <w:bookmarkEnd w:id="3"/>
    </w:p>
    <w:p w14:paraId="1D2A270C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使用二因子模型结合PEG策略进行投资回测，采用2023-2025年（共2年）的日度数据，分析模型实际投资效果，具体回测策略如下：</w:t>
      </w:r>
    </w:p>
    <w:p w14:paraId="7528A7D6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1. 计算PEG指标：PEG = 归一化后的PETTM / 五年利润平均增长率（明确时间范围：2018-2022年，利润增长率采用算术平均法计算，若出现负增长率，需标注并说明处理方式）；</w:t>
      </w:r>
    </w:p>
    <w:p w14:paraId="33BBC197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2. 交易规则：① 若PEG &lt; 0.8，全仓买入对应股票（若有多只股票同时满足，选择α系数最优的1只；若已满仓，持仓不动）；② 若PEG &gt; 1.5，全仓卖出对应股票（若已空仓，持仓不动）；③ 若0.8 ≤ PEG ≤ 1.5，保持现有持仓不变；</w:t>
      </w:r>
    </w:p>
    <w:p w14:paraId="44FE99A5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3. 初始资金：100万元现金，不考虑交易杠杆，计算回测期间（2023-2025年）的累计收益率、年化收益率、最大回撤</w:t>
      </w:r>
      <w:r>
        <w:rPr>
          <w:rFonts w:hint="eastAsia" w:ascii="宋体" w:hAnsi="宋体" w:eastAsia="宋体" w:cs="Arial"/>
          <w:szCs w:val="21"/>
          <w:lang w:eastAsia="zh-CN"/>
        </w:rPr>
        <w:t>、</w:t>
      </w:r>
      <w:r>
        <w:rPr>
          <w:rFonts w:hint="eastAsia" w:ascii="宋体" w:hAnsi="宋体" w:eastAsia="宋体" w:cs="Arial"/>
          <w:szCs w:val="21"/>
          <w:lang w:val="en-US" w:eastAsia="zh-CN"/>
        </w:rPr>
        <w:t>卡玛比率</w:t>
      </w:r>
      <w:bookmarkStart w:id="7" w:name="_GoBack"/>
      <w:bookmarkEnd w:id="7"/>
      <w:r>
        <w:rPr>
          <w:rFonts w:ascii="宋体" w:hAnsi="宋体" w:eastAsia="宋体" w:cs="Arial"/>
          <w:szCs w:val="21"/>
        </w:rPr>
        <w:t>；使用Python绘制累计收益曲线（需包含个股累计收益与上证指数累计收益对比）。</w:t>
      </w:r>
    </w:p>
    <w:p w14:paraId="765915F8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4. 补充要求：回测需考虑交易成本（手续费按0.03%/笔、滑点按0.1%/笔计算），标注交易次数、持仓周期等关键信息。</w:t>
      </w:r>
    </w:p>
    <w:p w14:paraId="52ACD2CA">
      <w:pPr>
        <w:spacing w:before="320" w:after="120" w:line="288" w:lineRule="auto"/>
        <w:jc w:val="left"/>
        <w:outlineLvl w:val="1"/>
        <w:rPr>
          <w:rFonts w:ascii="宋体" w:hAnsi="宋体" w:eastAsia="宋体"/>
          <w:szCs w:val="21"/>
        </w:rPr>
      </w:pPr>
      <w:bookmarkStart w:id="4" w:name="heading_3"/>
      <w:r>
        <w:rPr>
          <w:rFonts w:hint="eastAsia" w:ascii="宋体" w:hAnsi="宋体" w:eastAsia="宋体" w:cs="Arial"/>
          <w:b/>
          <w:szCs w:val="21"/>
        </w:rPr>
        <w:t>4.</w:t>
      </w:r>
      <w:r>
        <w:rPr>
          <w:rFonts w:ascii="宋体" w:hAnsi="宋体" w:eastAsia="宋体" w:cs="Arial"/>
          <w:b/>
          <w:szCs w:val="21"/>
        </w:rPr>
        <w:t xml:space="preserve"> 作业提交</w:t>
      </w:r>
      <w:bookmarkEnd w:id="4"/>
    </w:p>
    <w:p w14:paraId="4B1F676C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ascii="宋体" w:hAnsi="宋体" w:eastAsia="宋体" w:cs="Arial"/>
          <w:szCs w:val="21"/>
        </w:rPr>
        <w:t>（1）按要求完成Python程序编写，PPT需明确包含以下模块：① 数据获取步骤及代码片段（含注释）；② 数据预处理（收益率计算、归一化、无风险利率处理）结果；③ CAPM与二因子模型拟合结果（表格呈现α、β系数、R²等核心指标）；④ 数据分析过程及结论；⑤ 回测策略、代码片段、回测结果（累计收益、最大回撤等）及收益曲线；⑥ 问题思考与总结。</w:t>
      </w:r>
    </w:p>
    <w:p w14:paraId="0ECF847C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（2）</w:t>
      </w:r>
      <w:r>
        <w:rPr>
          <w:rFonts w:ascii="宋体" w:hAnsi="宋体" w:eastAsia="宋体"/>
          <w:szCs w:val="21"/>
        </w:rPr>
        <w:t>学习通上传PPT附件 + 代码正文/附件</w:t>
      </w:r>
      <w:r>
        <w:rPr>
          <w:rFonts w:ascii="宋体" w:hAnsi="宋体" w:eastAsia="宋体" w:cs="Arial"/>
          <w:szCs w:val="21"/>
        </w:rPr>
        <w:t>下</w:t>
      </w:r>
    </w:p>
    <w:p w14:paraId="4A1A5240">
      <w:pPr>
        <w:spacing w:before="120" w:after="120" w:line="288" w:lineRule="auto"/>
        <w:jc w:val="left"/>
        <w:rPr>
          <w:rFonts w:ascii="宋体" w:hAnsi="宋体" w:eastAsia="宋体" w:cs="Arial"/>
          <w:szCs w:val="21"/>
        </w:rPr>
      </w:pPr>
      <w:r>
        <w:rPr>
          <w:rFonts w:ascii="宋体" w:hAnsi="宋体" w:eastAsia="宋体" w:cs="Arial"/>
          <w:szCs w:val="21"/>
        </w:rPr>
        <w:t>（3）结合数据分析及回测结果，提前思考核心结论，准备课堂展示（每人展示5-8分钟）及小组讨论，重点分享模型拟合差异、回测效果及改进方向。</w:t>
      </w:r>
    </w:p>
    <w:p w14:paraId="0CACCFC5">
      <w:pPr>
        <w:spacing w:before="120" w:after="120" w:line="288" w:lineRule="auto"/>
        <w:jc w:val="left"/>
        <w:rPr>
          <w:rFonts w:ascii="宋体" w:hAnsi="宋体" w:eastAsia="宋体" w:cs="Arial"/>
          <w:b/>
          <w:bCs/>
          <w:szCs w:val="21"/>
        </w:rPr>
      </w:pPr>
      <w:r>
        <w:rPr>
          <w:rFonts w:hint="eastAsia" w:ascii="宋体" w:hAnsi="宋体" w:eastAsia="宋体" w:cs="Arial"/>
          <w:b/>
          <w:bCs/>
          <w:szCs w:val="21"/>
        </w:rPr>
        <w:t>5.</w:t>
      </w:r>
      <w:r>
        <w:rPr>
          <w:rFonts w:ascii="宋体" w:hAnsi="宋体" w:eastAsia="宋体" w:cs="Arial"/>
          <w:b/>
          <w:bCs/>
          <w:szCs w:val="21"/>
        </w:rPr>
        <w:t xml:space="preserve"> </w:t>
      </w:r>
      <w:r>
        <w:rPr>
          <w:rFonts w:hint="eastAsia" w:ascii="宋体" w:hAnsi="宋体" w:eastAsia="宋体" w:cs="Arial"/>
          <w:b/>
          <w:bCs/>
          <w:szCs w:val="21"/>
        </w:rPr>
        <w:t>评分标准</w:t>
      </w:r>
    </w:p>
    <w:p w14:paraId="38E5A4AD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数据预处理规范（</w:t>
      </w:r>
      <w:r>
        <w:rPr>
          <w:rFonts w:ascii="宋体" w:hAnsi="宋体" w:eastAsia="宋体"/>
          <w:szCs w:val="21"/>
        </w:rPr>
        <w:t>20 分）：超额收益、异常值处理</w:t>
      </w:r>
    </w:p>
    <w:p w14:paraId="5CEB54D7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模型回归正确（</w:t>
      </w:r>
      <w:r>
        <w:rPr>
          <w:rFonts w:ascii="宋体" w:hAnsi="宋体" w:eastAsia="宋体"/>
          <w:szCs w:val="21"/>
        </w:rPr>
        <w:t>30 分）：单因子、二因子结果无误</w:t>
      </w:r>
    </w:p>
    <w:p w14:paraId="4B22ADB2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回测逻辑通顺（</w:t>
      </w:r>
      <w:r>
        <w:rPr>
          <w:rFonts w:ascii="宋体" w:hAnsi="宋体" w:eastAsia="宋体"/>
          <w:szCs w:val="21"/>
        </w:rPr>
        <w:t>30 分）：PEG 策略与二因子挂钩</w:t>
      </w:r>
    </w:p>
    <w:p w14:paraId="7DAAE0CF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结果分析专业（</w:t>
      </w:r>
      <w:r>
        <w:rPr>
          <w:rFonts w:ascii="宋体" w:hAnsi="宋体" w:eastAsia="宋体"/>
          <w:szCs w:val="21"/>
        </w:rPr>
        <w:t>20 分）：解读系数、显著性、回测指标</w:t>
      </w:r>
    </w:p>
    <w:p w14:paraId="6ED24CD8">
      <w:pPr>
        <w:spacing w:before="320" w:after="120" w:line="288" w:lineRule="auto"/>
        <w:jc w:val="left"/>
        <w:outlineLvl w:val="1"/>
        <w:rPr>
          <w:rFonts w:ascii="宋体" w:hAnsi="宋体" w:eastAsia="宋体"/>
          <w:b/>
          <w:szCs w:val="21"/>
        </w:rPr>
      </w:pPr>
      <w:bookmarkStart w:id="5" w:name="heading_4"/>
      <w:r>
        <w:rPr>
          <w:rFonts w:ascii="宋体" w:hAnsi="宋体" w:eastAsia="宋体" w:cs="Arial"/>
          <w:b/>
          <w:szCs w:val="21"/>
        </w:rPr>
        <w:t>五、参考资料</w:t>
      </w:r>
      <w:bookmarkEnd w:id="5"/>
    </w:p>
    <w:p w14:paraId="14DAF461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（1）PETTM（动态市盈率）：指过去12个月（滚动12个月）的公司盈利与公司当前市值的比值，用于衡量公司定价是否被高估/低估。例如：公司过去12个月盈利1亿元，总市值20亿元，则PETTM=20。与静态PE相比，PETTM更贴合实时市场情况，避免了季节性盈利波动的影响。</w:t>
      </w:r>
    </w:p>
    <w:p w14:paraId="2EDDF519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（2）PEG指标：由彼得·林奇提出，用于衡量股票估值与成长性的匹配度，计算公式为：PEG = PETTM / 利润平均增长率（本次统一采用2018-2022年算术平均增长率）。</w:t>
      </w:r>
    </w:p>
    <w:p w14:paraId="14107AFB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（3）PEG投资逻辑：彼得·林奇认为，PEG &lt; 0.8时，股票价格被低估，具有投资价值；PEG &gt; 1.5时，股票价格被高估，建议卖出；0.8 ≤ PEG ≤ 1.5时，估值与成长性匹配，可持有。PEG方法暗含市场情绪影响，能反映市场对个股成长性的预期，可作为估值因子补充到二因子模型中，提升模型解释力。</w:t>
      </w:r>
    </w:p>
    <w:p w14:paraId="574A99D1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（4）补充参考：① 无风险利率获取：可通过baostock或Wind获取一年期国债收益率，按日插值处理为日度数据；② 最大最小归一化：用于消除不同指标的量纲差异，确保PETTM因子与市场因子可共同参与模型拟合；③ 因子暴露含义：β2为正，说明个股收益与PETTM正相关（PETTM越高，个股收益越高）；β2为负，说明个股收益与PETTM负相关（PETTM越高，个股收益越低）。</w:t>
      </w:r>
    </w:p>
    <w:p w14:paraId="63FBCE53">
      <w:pPr>
        <w:spacing w:before="320" w:after="120" w:line="288" w:lineRule="auto"/>
        <w:jc w:val="left"/>
        <w:outlineLvl w:val="1"/>
        <w:rPr>
          <w:rFonts w:ascii="宋体" w:hAnsi="宋体" w:eastAsia="宋体"/>
          <w:b/>
          <w:szCs w:val="21"/>
        </w:rPr>
      </w:pPr>
      <w:bookmarkStart w:id="6" w:name="heading_5"/>
      <w:r>
        <w:rPr>
          <w:rFonts w:ascii="宋体" w:hAnsi="宋体" w:eastAsia="宋体" w:cs="Arial"/>
          <w:b/>
          <w:szCs w:val="21"/>
        </w:rPr>
        <w:t>六、注意事项</w:t>
      </w:r>
      <w:bookmarkEnd w:id="6"/>
    </w:p>
    <w:p w14:paraId="4E273977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1. 数据处理需注意异常值：若PETTM或收益率出现极端值（如无穷大、负值），需进行去极值处理（建议采用Winsorize缩尾处理， limits=[0.01, 0.01]）；</w:t>
      </w:r>
    </w:p>
    <w:p w14:paraId="51D478F9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2. 模型拟合需使用statsmodels库，输出回归结果摘要，重点关注α、β系数的显著性（P值）；</w:t>
      </w:r>
    </w:p>
    <w:p w14:paraId="5F31D421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3. 回测过程需确保代码逻辑正确，避免未来数据偏差（禁止使用回测期间的数据用于模型拟合或PEG计算）；</w:t>
      </w:r>
    </w:p>
    <w:p w14:paraId="15A3D081">
      <w:pPr>
        <w:spacing w:before="120" w:after="120" w:line="288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Arial"/>
          <w:szCs w:val="21"/>
        </w:rPr>
        <w:t>4. 课堂展示需突出核心结论，重点分析“拟合差异原因”“回测效果不佳/较好的原因”及“模型改进方向”。</w:t>
      </w: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4797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7E5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AD8"/>
    <w:rsid w:val="00045AD8"/>
    <w:rsid w:val="00046650"/>
    <w:rsid w:val="002A06AB"/>
    <w:rsid w:val="00306ECE"/>
    <w:rsid w:val="00376443"/>
    <w:rsid w:val="00386937"/>
    <w:rsid w:val="004035B1"/>
    <w:rsid w:val="005F075D"/>
    <w:rsid w:val="00614844"/>
    <w:rsid w:val="0067190D"/>
    <w:rsid w:val="00AE7AB1"/>
    <w:rsid w:val="00B5759E"/>
    <w:rsid w:val="00C913F2"/>
    <w:rsid w:val="00DE5459"/>
    <w:rsid w:val="00EC2619"/>
    <w:rsid w:val="6300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link w:val="6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22"/>
    <w:rPr>
      <w:b/>
      <w:bCs/>
    </w:rPr>
  </w:style>
  <w:style w:type="character" w:customStyle="1" w:styleId="6">
    <w:name w:val="标题 3 字符"/>
    <w:basedOn w:val="4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2345</Words>
  <Characters>2698</Characters>
  <Lines>20</Lines>
  <Paragraphs>5</Paragraphs>
  <TotalTime>24</TotalTime>
  <ScaleCrop>false</ScaleCrop>
  <LinksUpToDate>false</LinksUpToDate>
  <CharactersWithSpaces>2804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2026-04-15T04:50:00Z</dcterms:created>
  <dc:creator>Apache POI</dc:creator>
  <cp:lastModifiedBy>西岭云</cp:lastModifiedBy>
  <dcterms:modified xsi:type="dcterms:W3CDTF">2026-05-19T07:05:54Z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eyJoZGlkIjoiNWYwYjQ2NWVhN2MwZmI3NmQzNTU4MzRmZjU1OGFhZjAiLCJ1c2VySWQiOiIzMDI3MzY4MjkifQ==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3760E36C7EEA40DC929F65B526B735CA_12</vt:lpwstr>
  </property>
</Properties>
</file>