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15BD33">
      <w:pPr>
        <w:widowControl/>
        <w:spacing w:after="240"/>
        <w:jc w:val="left"/>
        <w:outlineLvl w:val="0"/>
        <w:rPr>
          <w:rFonts w:ascii="Segoe UI" w:hAnsi="Segoe UI" w:eastAsia="宋体" w:cs="Segoe UI"/>
          <w:b/>
          <w:bCs/>
          <w:color w:val="333333"/>
          <w:kern w:val="36"/>
          <w:sz w:val="48"/>
          <w:szCs w:val="48"/>
        </w:rPr>
      </w:pPr>
      <w:r>
        <w:rPr>
          <w:rFonts w:ascii="Segoe UI" w:hAnsi="Segoe UI" w:eastAsia="宋体" w:cs="Segoe UI"/>
          <w:b/>
          <w:bCs/>
          <w:color w:val="333333"/>
          <w:kern w:val="36"/>
          <w:sz w:val="48"/>
          <w:szCs w:val="48"/>
        </w:rPr>
        <w:t>作业4B：中频短线量化全流程（AI辅助版）：因子挖掘→IC/共线质检→机器学习赋权→1~2日持仓选股回测</w:t>
      </w:r>
    </w:p>
    <w:p w14:paraId="63082F02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6"/>
          <w:szCs w:val="36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6"/>
          <w:szCs w:val="36"/>
        </w:rPr>
        <w:t>一、作业目的</w:t>
      </w:r>
    </w:p>
    <w:p w14:paraId="4C0045A1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完整复现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机构中频短线（1~2日持仓）量化投研标准流程，基于AI辅助编程</w:t>
      </w:r>
      <w:r>
        <w:rPr>
          <w:rFonts w:ascii="Segoe UI" w:hAnsi="Segoe UI" w:eastAsia="宋体" w:cs="Segoe UI"/>
          <w:color w:val="333333"/>
          <w:kern w:val="0"/>
          <w:szCs w:val="21"/>
        </w:rPr>
        <w:t>完成：本地数据预处理→高阶因子计算→IC/IR+共线性双质检→机器学习非线性赋权→日频截面选股→样本外回测验证。 核心目标：基于沪深300成分股构建中频短线量化模型，掌握日频因子筛选、AI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辅助编程</w:t>
      </w:r>
      <w:r>
        <w:rPr>
          <w:rFonts w:ascii="Segoe UI" w:hAnsi="Segoe UI" w:eastAsia="宋体" w:cs="Segoe UI"/>
          <w:color w:val="333333"/>
          <w:kern w:val="0"/>
          <w:szCs w:val="21"/>
        </w:rPr>
        <w:t>、中频交易规则与回测的工业界标准方法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；掌握A</w:t>
      </w:r>
      <w:r>
        <w:rPr>
          <w:rFonts w:ascii="Segoe UI" w:hAnsi="Segoe UI" w:eastAsia="宋体" w:cs="Segoe UI"/>
          <w:color w:val="333333"/>
          <w:kern w:val="0"/>
          <w:szCs w:val="21"/>
        </w:rPr>
        <w:t>I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代码审核</w:t>
      </w:r>
      <w:r>
        <w:rPr>
          <w:rFonts w:ascii="Segoe UI" w:hAnsi="Segoe UI" w:eastAsia="宋体" w:cs="Segoe UI"/>
          <w:color w:val="333333"/>
          <w:kern w:val="0"/>
          <w:szCs w:val="21"/>
        </w:rPr>
        <w:t>。</w:t>
      </w:r>
    </w:p>
    <w:p w14:paraId="417C0C87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6"/>
          <w:szCs w:val="36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6"/>
          <w:szCs w:val="36"/>
        </w:rPr>
        <w:t>二、核心研究设计</w:t>
      </w:r>
    </w:p>
    <w:p w14:paraId="4EF9651E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研究标的</w:t>
      </w:r>
      <w:r>
        <w:rPr>
          <w:rFonts w:ascii="Segoe UI" w:hAnsi="Segoe UI" w:eastAsia="宋体" w:cs="Segoe UI"/>
          <w:color w:val="333333"/>
          <w:kern w:val="0"/>
          <w:szCs w:val="21"/>
        </w:rPr>
        <w:t>：沪深300指数成分股（共300只，A股流动性最优、数据完整度最高，适配中频1~2日交易）</w:t>
      </w:r>
    </w:p>
    <w:p w14:paraId="50A91414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时间划分</w:t>
      </w:r>
    </w:p>
    <w:p w14:paraId="0174177D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建模训练集：2020-01-01 → 2023-12-31（因子检验、模型训练）</w:t>
      </w:r>
    </w:p>
    <w:p w14:paraId="5DB5D02E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样本外回测集：2024-01-01 → 2025-12-31（策略验证，严格隔离）</w:t>
      </w:r>
    </w:p>
    <w:p w14:paraId="2300504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工具与数据</w:t>
      </w:r>
    </w:p>
    <w:p w14:paraId="5E147162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编程：Python（Pandas/Statsmodels/LightGBM）</w:t>
      </w:r>
    </w:p>
    <w:p w14:paraId="514EA247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数据：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使用</w:t>
      </w:r>
      <w:r>
        <w:rPr>
          <w:rFonts w:ascii="Segoe UI" w:hAnsi="Segoe UI" w:eastAsia="宋体" w:cs="Segoe UI"/>
          <w:color w:val="333333"/>
          <w:kern w:val="0"/>
          <w:szCs w:val="21"/>
        </w:rPr>
        <w:t>教师预下载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的</w:t>
      </w:r>
      <w:r>
        <w:rPr>
          <w:rFonts w:ascii="Segoe UI" w:hAnsi="Segoe UI" w:eastAsia="宋体" w:cs="Segoe UI"/>
          <w:color w:val="333333"/>
          <w:kern w:val="0"/>
          <w:szCs w:val="21"/>
        </w:rPr>
        <w:t>本地数据（日频K线、5分钟线、财务指标、北向资金、沪深300指数）</w:t>
      </w:r>
    </w:p>
    <w:p w14:paraId="50B46A4A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辅助工具：AI编程助手（TRAE/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C</w:t>
      </w:r>
      <w:r>
        <w:rPr>
          <w:rFonts w:ascii="Segoe UI" w:hAnsi="Segoe UI" w:eastAsia="宋体" w:cs="Segoe UI"/>
          <w:color w:val="333333"/>
          <w:kern w:val="0"/>
          <w:szCs w:val="21"/>
        </w:rPr>
        <w:t>odeybuddy）</w:t>
      </w:r>
    </w:p>
    <w:p w14:paraId="345E735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核心流程</w:t>
      </w:r>
      <w:r>
        <w:rPr>
          <w:rFonts w:ascii="Segoe UI" w:hAnsi="Segoe UI" w:eastAsia="宋体" w:cs="Segoe UI"/>
          <w:color w:val="333333"/>
          <w:kern w:val="0"/>
          <w:szCs w:val="21"/>
        </w:rPr>
        <w:t>：本地数据加载→数据预处理→中频因子计算→IC/IR+VIF共线质检→单因子检验→LGBM机器学习赋权→日频截面选股→1~2日持仓样本外回测</w:t>
      </w:r>
    </w:p>
    <w:p w14:paraId="267AF3D9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6"/>
          <w:szCs w:val="36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6"/>
          <w:szCs w:val="36"/>
        </w:rPr>
        <w:t>三、因子标准定义（中频短线1~2日持仓核心）</w:t>
      </w:r>
    </w:p>
    <w:p w14:paraId="55E98441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短频反转因子Reversal</w:t>
      </w:r>
      <w:r>
        <w:rPr>
          <w:rFonts w:ascii="Segoe UI" w:hAnsi="Segoe UI" w:eastAsia="宋体" w:cs="Segoe UI"/>
          <w:color w:val="333333"/>
          <w:kern w:val="0"/>
          <w:szCs w:val="21"/>
        </w:rPr>
        <w:t>：-前1日个股收益率（中频核心，超短反转预测收益）</w:t>
      </w:r>
    </w:p>
    <w:p w14:paraId="7A8382D5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流动性因子Liquidity</w:t>
      </w:r>
      <w:r>
        <w:rPr>
          <w:rFonts w:ascii="Segoe UI" w:hAnsi="Segoe UI" w:eastAsia="宋体" w:cs="Segoe UI"/>
          <w:color w:val="333333"/>
          <w:kern w:val="0"/>
          <w:szCs w:val="21"/>
        </w:rPr>
        <w:t>：Amihud非流动性指标（日振幅/日成交额，衡量交易摩擦）</w:t>
      </w:r>
    </w:p>
    <w:p w14:paraId="223F21B0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资金流因子MoneyFlow</w:t>
      </w:r>
      <w:r>
        <w:rPr>
          <w:rFonts w:ascii="Segoe UI" w:hAnsi="Segoe UI" w:eastAsia="宋体" w:cs="Segoe UI"/>
          <w:color w:val="333333"/>
          <w:kern w:val="0"/>
          <w:szCs w:val="21"/>
        </w:rPr>
        <w:t>：：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计算当日主力大单净额</w:t>
      </w:r>
      <w:r>
        <w:rPr>
          <w:rFonts w:ascii="Segoe UI" w:hAnsi="Segoe UI" w:eastAsia="宋体" w:cs="Segoe UI"/>
          <w:color w:val="333333"/>
          <w:kern w:val="0"/>
          <w:szCs w:val="21"/>
        </w:rPr>
        <w:t xml:space="preserve"> = buy_amount - sell_amount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；</w:t>
      </w:r>
      <w:r>
        <w:rPr>
          <w:rFonts w:ascii="Segoe UI" w:hAnsi="Segoe UI" w:eastAsia="宋体" w:cs="Segoe UI"/>
          <w:color w:val="333333"/>
          <w:kern w:val="0"/>
          <w:szCs w:val="21"/>
        </w:rPr>
        <w:t>5日滚动净流入 = 大单净额.rolling (window=5, min_periods=1).sum ()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；</w:t>
      </w:r>
      <w:r>
        <w:rPr>
          <w:rFonts w:ascii="Segoe UI" w:hAnsi="Segoe UI" w:eastAsia="宋体" w:cs="Segoe UI"/>
          <w:color w:val="333333"/>
          <w:kern w:val="0"/>
          <w:szCs w:val="21"/>
        </w:rPr>
        <w:t>MoneyFlow = 5 日滚动净流入 ÷ 个股自由流通市值</w:t>
      </w:r>
    </w:p>
    <w:p w14:paraId="6AFC1D99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价值因子Value</w:t>
      </w:r>
      <w:r>
        <w:rPr>
          <w:rFonts w:ascii="Segoe UI" w:hAnsi="Segoe UI" w:eastAsia="宋体" w:cs="Segoe UI"/>
          <w:color w:val="333333"/>
          <w:kern w:val="0"/>
          <w:szCs w:val="21"/>
        </w:rPr>
        <w:t>：PE_TTM倒数（正向化，低估值增强收益稳定性）</w:t>
      </w:r>
    </w:p>
    <w:p w14:paraId="65086D6B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6"/>
          <w:szCs w:val="36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6"/>
          <w:szCs w:val="36"/>
        </w:rPr>
        <w:t>四、分模块任务</w:t>
      </w:r>
    </w:p>
    <w:p w14:paraId="0F5A7F03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模块1：本地数据加载与预处理（35分）</w:t>
      </w:r>
    </w:p>
    <w:p w14:paraId="1DC7411A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任务</w:t>
      </w:r>
    </w:p>
    <w:p w14:paraId="00193FF7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读取教师预下载本地数据，计算日频收益率、中频因子，完成清洗、去极值、数据集拆分。</w:t>
      </w:r>
    </w:p>
    <w:p w14:paraId="63B79F13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操作步骤</w:t>
      </w:r>
    </w:p>
    <w:p w14:paraId="165E8C86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数据提取</w:t>
      </w:r>
      <w:r>
        <w:rPr>
          <w:rFonts w:ascii="Segoe UI" w:hAnsi="Segoe UI" w:eastAsia="宋体" w:cs="Segoe UI"/>
          <w:color w:val="333333"/>
          <w:kern w:val="0"/>
          <w:szCs w:val="21"/>
        </w:rPr>
        <w:t>：读取本地Parquet格式数据（沪深300成分股日频/5分钟线、财务、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d</w:t>
      </w:r>
      <w:r>
        <w:rPr>
          <w:rFonts w:ascii="Segoe UI" w:hAnsi="Segoe UI" w:eastAsia="宋体" w:cs="Segoe UI"/>
          <w:color w:val="333333"/>
          <w:kern w:val="0"/>
          <w:szCs w:val="21"/>
        </w:rPr>
        <w:t>aily_basic、指数数据）</w:t>
      </w:r>
    </w:p>
    <w:p w14:paraId="4441B204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指标计算</w:t>
      </w:r>
    </w:p>
    <w:p w14:paraId="27572C48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个股日频收益率 = (当日收盘价/前日收盘价)-1</w:t>
      </w:r>
    </w:p>
    <w:p w14:paraId="564A7E0D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市场日频收益率 = 沪深300指数日收益率</w:t>
      </w:r>
    </w:p>
    <w:p w14:paraId="02D2A5E6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超额收益 = 个股日收益率 - 无风险利率（日0.01%）</w:t>
      </w:r>
    </w:p>
    <w:p w14:paraId="66330E9E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合成Reversal/Liquidity/MoneyFlow/Value因子</w:t>
      </w:r>
    </w:p>
    <w:p w14:paraId="4FC4A7B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数据清洗</w:t>
      </w:r>
    </w:p>
    <w:p w14:paraId="466383B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缺失值：市值/因子前值填充，收益率剔除停牌日</w:t>
      </w:r>
    </w:p>
    <w:p w14:paraId="72C16BC1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异常值：3σ缩尾处理（超出[μ-3σ,μ+3σ]用边界值替换）</w:t>
      </w:r>
    </w:p>
    <w:p w14:paraId="014FCE9E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数据集拆分</w:t>
      </w:r>
    </w:p>
    <w:p w14:paraId="6DB62E7B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训练集：2020-2023</w:t>
      </w:r>
    </w:p>
    <w:p w14:paraId="01220F89">
      <w:pPr>
        <w:widowControl/>
        <w:numPr>
          <w:ilvl w:val="1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回测集：2024-2025</w:t>
      </w:r>
    </w:p>
    <w:p w14:paraId="12BABA89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输出清洗后数据集CSV，配数据说明表</w:t>
      </w:r>
    </w:p>
    <w:p w14:paraId="2092E35A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AI编程参考提示词</w:t>
      </w:r>
    </w:p>
    <w:p w14:paraId="08AC1345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基于本地</w:t>
      </w:r>
      <w:r>
        <w:rPr>
          <w:rFonts w:ascii="Segoe UI" w:hAnsi="Segoe UI" w:eastAsia="宋体" w:cs="Segoe UI"/>
          <w:color w:val="333333"/>
          <w:kern w:val="0"/>
          <w:szCs w:val="21"/>
        </w:rPr>
        <w:t>Parquet股票数据，编写Python代码：</w:t>
      </w:r>
    </w:p>
    <w:p w14:paraId="4C6BE21B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1. 批量读取沪深300成分股日频数据（含moneyflow_stock中的buy_amount和sell_amount字段）</w:t>
      </w:r>
    </w:p>
    <w:p w14:paraId="61CE0DCF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2. 计算个股日收益率、超额收益（日无风险利率0.01%）</w:t>
      </w:r>
    </w:p>
    <w:p w14:paraId="38F49C89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3. 合成四大因子：</w:t>
      </w:r>
    </w:p>
    <w:p w14:paraId="1B26018C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 xml:space="preserve">   - Reversal：-当日个股收益率</w:t>
      </w:r>
    </w:p>
    <w:p w14:paraId="1C16202B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 xml:space="preserve">   - Liquidity：Amihud非流动性指标（|当日收益率| / 日成交额）</w:t>
      </w:r>
    </w:p>
    <w:p w14:paraId="17DCCFF7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 xml:space="preserve">   - MoneyFlow：主力大单净额5日滚动净流入 ÷ 自由流通市值</w:t>
      </w:r>
    </w:p>
    <w:p w14:paraId="0D22EF01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 xml:space="preserve">     （步骤：先算当日净额=buy_amount-sell_amount，再算5日滚动和，最后除以流通市值）</w:t>
      </w:r>
    </w:p>
    <w:p w14:paraId="1037BCA7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 xml:space="preserve">   - Value：1 / PE_TTM</w:t>
      </w:r>
    </w:p>
    <w:p w14:paraId="454D0A7D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4. 做3σ缩尾去极值、缺失值前向填充</w:t>
      </w:r>
    </w:p>
    <w:p w14:paraId="3798439D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5. 按2020-2023（训练集）/2024-2025（回测集）拆分，输出标准化DataFrame</w:t>
      </w:r>
    </w:p>
    <w:p w14:paraId="3E28C0E9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6. 原始数据保持不动，仅在计算时合并处理</w:t>
      </w:r>
    </w:p>
    <w:p w14:paraId="3C7D783C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A5FD4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模块2：因子质检（IC/IR+共线性检验）（15分）</w:t>
      </w:r>
    </w:p>
    <w:p w14:paraId="55BB0D2C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1. 因子标准化（5分）</w:t>
      </w:r>
    </w:p>
    <w:p w14:paraId="03F543EE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方法：Z-Score标准化 Factor_std = (Factor-μ)/σ</w:t>
      </w:r>
    </w:p>
    <w:p w14:paraId="733BA6FF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范围：4个中频因子</w:t>
      </w:r>
    </w:p>
    <w:p w14:paraId="528284EA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目的：统一量纲，保证模型权重公平</w:t>
      </w:r>
    </w:p>
    <w:p w14:paraId="7431DDA5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2. IC/IR计算（6分）</w:t>
      </w:r>
    </w:p>
    <w:p w14:paraId="3810FE9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IC定义：当期因子值与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次日收益率</w:t>
      </w:r>
      <w:r>
        <w:rPr>
          <w:rFonts w:ascii="Segoe UI" w:hAnsi="Segoe UI" w:eastAsia="宋体" w:cs="Segoe UI"/>
          <w:color w:val="333333"/>
          <w:kern w:val="0"/>
          <w:szCs w:val="21"/>
        </w:rPr>
        <w:t>的Spearman秩相关系数（中频预测能力）</w:t>
      </w:r>
    </w:p>
    <w:p w14:paraId="7F031C2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计算：按日截面计算，得到日度IC序列，Newey-West调整t检验</w:t>
      </w:r>
    </w:p>
    <w:p w14:paraId="355BDA56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判定标准：IC均值&gt;0.02有效，IC均值&gt;0.05优秀；IR=IC均值/IC标准差，|IR|&gt;0.1稳定</w:t>
      </w:r>
    </w:p>
    <w:p w14:paraId="63EC0558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IC 筛选规则：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Cs w:val="21"/>
        </w:rPr>
        <w:t>①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 xml:space="preserve"> 因子全时序 | IC|≥0.02：判定为初步有效，直接进入单因子检验；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Cs w:val="21"/>
        </w:rPr>
        <w:t>②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 xml:space="preserve"> 0.01≤|IC|＜0.02：边缘因子，留存进入后续两轮校验；</w:t>
      </w:r>
      <w:r>
        <w:rPr>
          <w:rFonts w:hint="eastAsia" w:ascii="微软雅黑" w:hAnsi="微软雅黑" w:eastAsia="微软雅黑" w:cs="微软雅黑"/>
          <w:b/>
          <w:bCs/>
          <w:color w:val="333333"/>
          <w:kern w:val="0"/>
          <w:szCs w:val="21"/>
        </w:rPr>
        <w:t>③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 xml:space="preserve"> |IC|＜0.01：全周期无效因子，【实盘规则：直接剔除；课程规则：保留全流程测试】。</w:t>
      </w:r>
    </w:p>
    <w:p w14:paraId="1FD3EAE3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3. 共线性检验（4分）</w:t>
      </w:r>
    </w:p>
    <w:p w14:paraId="1FE6D18C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方法：VIF方差膨胀因子，VIF&gt;5判定高共线</w:t>
      </w:r>
    </w:p>
    <w:p w14:paraId="75019B7B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输出：IC序列、IR、VIF值、共线因子列表</w:t>
      </w:r>
    </w:p>
    <w:p w14:paraId="59B6C3A7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AI编程参考提示词</w:t>
      </w:r>
    </w:p>
    <w:p w14:paraId="537CD52D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编写Python代码：1.对4个因子做Z-Score标准化；2.按日截面计算因子与次日收益的Spearman IC，做Newey-West显著性检验；3.计算IC均值、IC标准差、IR值；4.计算因子VIF共线性检验，输出检验结果表格。</w:t>
      </w:r>
    </w:p>
    <w:p w14:paraId="770B14AF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568A5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模块3：单因子有效性检验（20分）</w:t>
      </w:r>
    </w:p>
    <w:p w14:paraId="592C7182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步骤1：单因子横截面回归</w:t>
      </w:r>
    </w:p>
    <w:p w14:paraId="190B73E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回归公式：Return_{i,t+1} = α + β×Factor_{i,t} + ε</w:t>
      </w:r>
    </w:p>
    <w:p w14:paraId="676A1911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因变量：个股次日超额收益</w:t>
      </w:r>
    </w:p>
    <w:p w14:paraId="6C508B3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自变量：4个标准化单因子</w:t>
      </w:r>
    </w:p>
    <w:p w14:paraId="68F8FE30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步骤2：有效因子判定</w:t>
      </w:r>
    </w:p>
    <w:p w14:paraId="333C6F8C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因子系数β显著（p&lt;0.05）→ 判定为有效中频因子</w:t>
      </w:r>
    </w:p>
    <w:p w14:paraId="30902E38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输出：有效因子列表、回归系数均值、p值均值</w:t>
      </w:r>
    </w:p>
    <w:p w14:paraId="76943526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b/>
          <w:bCs/>
          <w:color w:val="333333"/>
          <w:kern w:val="0"/>
          <w:szCs w:val="21"/>
        </w:rPr>
        <w:t>判断规则：（1）全部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 xml:space="preserve"> 4 只因子强制完成日截面单因子 OLS 检验，单因子环节不做任何剔除；</w:t>
      </w:r>
      <w:r>
        <w:rPr>
          <w:rFonts w:hint="eastAsia" w:ascii="Segoe UI" w:hAnsi="Segoe UI" w:eastAsia="宋体" w:cs="Segoe UI"/>
          <w:b/>
          <w:bCs/>
          <w:color w:val="333333"/>
          <w:kern w:val="0"/>
          <w:szCs w:val="21"/>
        </w:rPr>
        <w:t>（2）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OLS 仅用于线性有效性量化评估：p＜0.05 = 线性有效；p≥0.05 = 线性维度失效、列入待定池；</w:t>
      </w:r>
      <w:r>
        <w:rPr>
          <w:rFonts w:hint="eastAsia" w:ascii="Segoe UI" w:hAnsi="Segoe UI" w:eastAsia="宋体" w:cs="Segoe UI"/>
          <w:b/>
          <w:bCs/>
          <w:color w:val="333333"/>
          <w:kern w:val="0"/>
          <w:szCs w:val="21"/>
        </w:rPr>
        <w:t>（3）所有待定因子全部顺延进入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 xml:space="preserve"> LGBM 非线性二次筛选，</w:t>
      </w:r>
      <w:r>
        <w:rPr>
          <w:rFonts w:hint="eastAsia" w:ascii="Segoe UI" w:hAnsi="Segoe UI" w:eastAsia="宋体" w:cs="Segoe UI"/>
          <w:b/>
          <w:bCs/>
          <w:color w:val="333333"/>
          <w:kern w:val="0"/>
          <w:szCs w:val="21"/>
        </w:rPr>
        <w:t>超短因子的收益来源是资金、情绪、博弈，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90% 都是非线性关系，传统线性 OLS 回归全军覆没是 A 股常态，需要</w:t>
      </w:r>
      <w:r>
        <w:rPr>
          <w:rFonts w:hint="eastAsia" w:ascii="Segoe UI" w:hAnsi="Segoe UI" w:eastAsia="宋体" w:cs="Segoe UI"/>
          <w:b/>
          <w:bCs/>
          <w:color w:val="333333"/>
          <w:kern w:val="0"/>
          <w:szCs w:val="21"/>
        </w:rPr>
        <w:t>进入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非线性模型</w:t>
      </w:r>
      <w:r>
        <w:rPr>
          <w:rFonts w:hint="eastAsia" w:ascii="Segoe UI" w:hAnsi="Segoe UI" w:eastAsia="宋体" w:cs="Segoe UI"/>
          <w:b/>
          <w:bCs/>
          <w:color w:val="333333"/>
          <w:kern w:val="0"/>
          <w:szCs w:val="21"/>
        </w:rPr>
        <w:t>进一步分析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。</w:t>
      </w:r>
    </w:p>
    <w:p w14:paraId="2649E473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AI编程参考提示词</w:t>
      </w:r>
    </w:p>
    <w:p w14:paraId="7BCDDBE7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编写Python代码：1.按日截面做单因子OLS回归，因变量为个股次日超额收益，自变量为标准化因子；2.计算所有交易日的回归系数β均值、p值均值；3.按p&lt;0.05筛选有效因子，输出结果。</w:t>
      </w:r>
    </w:p>
    <w:p w14:paraId="237A1BBD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6EE04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模块4：多因子机器学习赋权（LGBM非线性）（15分）</w:t>
      </w:r>
    </w:p>
    <w:p w14:paraId="3965C674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1. 建模数据准备（4分）</w:t>
      </w:r>
    </w:p>
    <w:p w14:paraId="107B100F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特征：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所有</w:t>
      </w:r>
      <w:r>
        <w:rPr>
          <w:rFonts w:ascii="Segoe UI" w:hAnsi="Segoe UI" w:eastAsia="宋体" w:cs="Segoe UI"/>
          <w:color w:val="333333"/>
          <w:kern w:val="0"/>
          <w:szCs w:val="21"/>
        </w:rPr>
        <w:t>因子标准化值</w:t>
      </w:r>
    </w:p>
    <w:p w14:paraId="5C23C09A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标签：个股次日超额收益</w:t>
      </w:r>
    </w:p>
    <w:p w14:paraId="62A0B3C7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样本：仅用2020-2023训练集</w:t>
      </w:r>
    </w:p>
    <w:p w14:paraId="4A1DBF58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2. LGBM机器学习建模（6分）</w:t>
      </w:r>
    </w:p>
    <w:p w14:paraId="72427BF1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模型：LightGBM回归模型（预测次日收益）</w:t>
      </w:r>
    </w:p>
    <w:p w14:paraId="7B99B8BE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输出：特征重要性、模型拟合结果</w:t>
      </w:r>
    </w:p>
    <w:p w14:paraId="53515C50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 xml:space="preserve">3. </w:t>
      </w:r>
      <w:r>
        <w:rPr>
          <w:rFonts w:hint="eastAsia" w:ascii="Segoe UI" w:hAnsi="Segoe UI" w:eastAsia="宋体" w:cs="Segoe UI"/>
          <w:b/>
          <w:bCs/>
          <w:color w:val="333333"/>
          <w:kern w:val="0"/>
          <w:szCs w:val="21"/>
        </w:rPr>
        <w:t>模型保存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（5分）</w:t>
      </w:r>
    </w:p>
    <w:p w14:paraId="6D58E69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保存训练完成的</w:t>
      </w:r>
      <w:r>
        <w:rPr>
          <w:rFonts w:ascii="Segoe UI" w:hAnsi="Segoe UI" w:eastAsia="宋体" w:cs="Segoe UI"/>
          <w:color w:val="333333"/>
          <w:kern w:val="0"/>
          <w:szCs w:val="21"/>
        </w:rPr>
        <w:t xml:space="preserve"> LGBM 预测模型，用于后续样本外打分选股</w:t>
      </w:r>
    </w:p>
    <w:p w14:paraId="04827E91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 xml:space="preserve">说明：模型自动学习因子非线性权重，替代传统手工加权综合得分 </w:t>
      </w:r>
    </w:p>
    <w:p w14:paraId="7F6BE9C8">
      <w:pPr>
        <w:widowControl/>
        <w:spacing w:before="100" w:beforeAutospacing="1" w:after="100" w:afterAutospacing="1"/>
        <w:jc w:val="left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AI编程参考提示词</w:t>
      </w:r>
    </w:p>
    <w:p w14:paraId="69F4879A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编写</w:t>
      </w:r>
      <w:r>
        <w:rPr>
          <w:rFonts w:ascii="Segoe UI" w:hAnsi="Segoe UI" w:eastAsia="宋体" w:cs="Segoe UI"/>
          <w:color w:val="333333"/>
          <w:kern w:val="0"/>
          <w:szCs w:val="21"/>
        </w:rPr>
        <w:t xml:space="preserve"> Python 代码：1. 使用有效因子构建 LightGBM 回归模型，预测个股次日超额收益；2. 采用 5 折时间序列交叉验证；3. 输出特征重要性与模型拟合结果；4. 保存训练好的模型文件。</w:t>
      </w:r>
    </w:p>
    <w:p w14:paraId="65031927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E8D0D3">
      <w:pPr>
        <w:widowControl/>
        <w:spacing w:before="360" w:after="240"/>
        <w:jc w:val="left"/>
        <w:outlineLvl w:val="2"/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0"/>
          <w:szCs w:val="30"/>
        </w:rPr>
        <w:t>模块5：日频截面选股+1~2日持仓样本外回测（15分）</w:t>
      </w:r>
    </w:p>
    <w:p w14:paraId="789FF874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第一部分：</w:t>
      </w:r>
      <w:r>
        <w:rPr>
          <w:rFonts w:hint="eastAsia" w:ascii="Segoe UI" w:hAnsi="Segoe UI" w:eastAsia="宋体" w:cs="Segoe UI"/>
          <w:b/>
          <w:bCs/>
          <w:color w:val="333333"/>
          <w:kern w:val="0"/>
          <w:szCs w:val="21"/>
        </w:rPr>
        <w:t>综合得分定义与日频截面选股</w:t>
      </w: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（6分）</w:t>
      </w:r>
    </w:p>
    <w:p w14:paraId="0579257D">
      <w:pPr>
        <w:widowControl/>
        <w:numPr>
          <w:ilvl w:val="0"/>
          <w:numId w:val="12"/>
        </w:numPr>
        <w:spacing w:before="100" w:beforeAutospacing="1" w:after="100" w:afterAutospacing="1"/>
        <w:contextualSpacing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综合得分公式</w:t>
      </w:r>
    </w:p>
    <w:p w14:paraId="37DA5B0E">
      <w:pPr>
        <w:widowControl/>
        <w:spacing w:before="100" w:beforeAutospacing="1" w:after="100" w:afterAutospacing="1"/>
        <w:ind w:left="720"/>
        <w:contextualSpacing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 xml:space="preserve"> 综合得分 = 训练好的 LGBM 模型预测的个股次日超额收益</w:t>
      </w:r>
    </w:p>
    <w:p w14:paraId="53843BA7">
      <w:pPr>
        <w:widowControl/>
        <w:spacing w:before="100" w:beforeAutospacing="1" w:after="100" w:afterAutospacing="1"/>
        <w:ind w:left="720"/>
        <w:contextualSpacing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得分含义：得分越高，1~2 日持仓收益预期越强</w:t>
      </w:r>
    </w:p>
    <w:p w14:paraId="12F14997">
      <w:pPr>
        <w:widowControl/>
        <w:numPr>
          <w:ilvl w:val="0"/>
          <w:numId w:val="12"/>
        </w:numPr>
        <w:spacing w:before="100" w:beforeAutospacing="1" w:after="100" w:afterAutospacing="1"/>
        <w:contextualSpacing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每日截面打分：按综合得分从高到低排序</w:t>
      </w:r>
    </w:p>
    <w:p w14:paraId="4DA0EA1D">
      <w:pPr>
        <w:widowControl/>
        <w:numPr>
          <w:ilvl w:val="0"/>
          <w:numId w:val="12"/>
        </w:numPr>
        <w:spacing w:before="100" w:beforeAutospacing="1" w:after="100" w:afterAutospacing="1"/>
        <w:contextualSpacing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选股规则：选</w:t>
      </w:r>
      <w:r>
        <w:rPr>
          <w:rFonts w:ascii="Segoe UI" w:hAnsi="Segoe UI" w:eastAsia="宋体" w:cs="Segoe UI"/>
          <w:color w:val="333333"/>
          <w:kern w:val="0"/>
          <w:szCs w:val="21"/>
        </w:rPr>
        <w:t xml:space="preserve"> Top5，等权持仓</w:t>
      </w:r>
    </w:p>
    <w:p w14:paraId="55511287">
      <w:pPr>
        <w:widowControl/>
        <w:numPr>
          <w:ilvl w:val="0"/>
          <w:numId w:val="12"/>
        </w:numPr>
        <w:spacing w:before="100" w:beforeAutospacing="1" w:after="100" w:afterAutospacing="1"/>
        <w:ind w:left="714"/>
        <w:contextualSpacing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交易规则（中频</w:t>
      </w:r>
      <w:r>
        <w:rPr>
          <w:rFonts w:ascii="Segoe UI" w:hAnsi="Segoe UI" w:eastAsia="宋体" w:cs="Segoe UI"/>
          <w:color w:val="333333"/>
          <w:kern w:val="0"/>
          <w:szCs w:val="21"/>
        </w:rPr>
        <w:t xml:space="preserve"> 1~2 日核心）</w:t>
      </w:r>
      <w:r>
        <w:rPr>
          <w:rFonts w:hint="eastAsia" w:ascii="Segoe UI" w:hAnsi="Segoe UI" w:eastAsia="宋体" w:cs="Segoe UI"/>
          <w:color w:val="333333"/>
          <w:kern w:val="0"/>
          <w:szCs w:val="21"/>
        </w:rPr>
        <w:t>：</w:t>
      </w:r>
    </w:p>
    <w:p w14:paraId="569A991F">
      <w:pPr>
        <w:widowControl/>
        <w:spacing w:before="100" w:beforeAutospacing="1" w:after="100" w:afterAutospacing="1"/>
        <w:ind w:left="714"/>
        <w:contextualSpacing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（1）</w:t>
      </w:r>
      <w:r>
        <w:rPr>
          <w:rFonts w:ascii="Segoe UI" w:hAnsi="Segoe UI" w:eastAsia="宋体" w:cs="Segoe UI"/>
          <w:color w:val="333333"/>
          <w:kern w:val="0"/>
          <w:szCs w:val="21"/>
        </w:rPr>
        <w:t>调仓：每日调仓，平均持仓 1~2 日</w:t>
      </w:r>
    </w:p>
    <w:p w14:paraId="03F10FAF">
      <w:pPr>
        <w:widowControl/>
        <w:spacing w:before="100" w:beforeAutospacing="1" w:after="100" w:afterAutospacing="1"/>
        <w:ind w:left="714"/>
        <w:contextualSpacing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（2）</w:t>
      </w:r>
      <w:r>
        <w:rPr>
          <w:rFonts w:ascii="Segoe UI" w:hAnsi="Segoe UI" w:eastAsia="宋体" w:cs="Segoe UI"/>
          <w:color w:val="333333"/>
          <w:kern w:val="0"/>
          <w:szCs w:val="21"/>
        </w:rPr>
        <w:t>仓位：5 只等权，单票≤20%</w:t>
      </w:r>
    </w:p>
    <w:p w14:paraId="2C0B771F">
      <w:pPr>
        <w:widowControl/>
        <w:spacing w:before="100" w:beforeAutospacing="1" w:after="100" w:afterAutospacing="1"/>
        <w:ind w:left="714"/>
        <w:contextualSpacing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hint="eastAsia" w:ascii="Segoe UI" w:hAnsi="Segoe UI" w:eastAsia="宋体" w:cs="Segoe UI"/>
          <w:color w:val="333333"/>
          <w:kern w:val="0"/>
          <w:szCs w:val="21"/>
        </w:rPr>
        <w:t>（3）</w:t>
      </w:r>
      <w:r>
        <w:rPr>
          <w:rFonts w:ascii="Segoe UI" w:hAnsi="Segoe UI" w:eastAsia="宋体" w:cs="Segoe UI"/>
          <w:color w:val="333333"/>
          <w:kern w:val="0"/>
          <w:szCs w:val="21"/>
        </w:rPr>
        <w:t>流程：卖出旧持仓→买入新持仓，扣双边交易成本按综合得分从高到低排序</w:t>
      </w:r>
    </w:p>
    <w:p w14:paraId="4F953432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第二部分：样本外回测（9分）</w:t>
      </w:r>
    </w:p>
    <w:p w14:paraId="2A0052EF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回测参数</w:t>
      </w:r>
    </w:p>
    <w:p w14:paraId="697A5C76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初始资金：100万元</w:t>
      </w:r>
    </w:p>
    <w:p w14:paraId="1639F934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交易成本：单边0.1%</w:t>
      </w:r>
    </w:p>
    <w:p w14:paraId="491A0DAA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回测区间：2024-2025</w:t>
      </w:r>
    </w:p>
    <w:p w14:paraId="078B216E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必算指标</w:t>
      </w:r>
    </w:p>
    <w:p w14:paraId="7F8E374C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累计收益率、年化收益率、夏普比率</w:t>
      </w:r>
    </w:p>
    <w:p w14:paraId="0DEC639C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最大回撤、日胜率、超额收益（相对沪深300）</w:t>
      </w:r>
    </w:p>
    <w:p w14:paraId="40B61B08">
      <w:pPr>
        <w:widowControl/>
        <w:numPr>
          <w:ilvl w:val="1"/>
          <w:numId w:val="1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每日调仓记录</w:t>
      </w:r>
    </w:p>
    <w:p w14:paraId="2537E710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输出</w:t>
      </w:r>
      <w:r>
        <w:rPr>
          <w:rFonts w:ascii="Segoe UI" w:hAnsi="Segoe UI" w:eastAsia="宋体" w:cs="Segoe UI"/>
          <w:color w:val="333333"/>
          <w:kern w:val="0"/>
          <w:szCs w:val="21"/>
        </w:rPr>
        <w:t>：策略净值VS沪深300对比图、回测指标表格</w:t>
      </w:r>
    </w:p>
    <w:p w14:paraId="6CA80C87">
      <w:pPr>
        <w:widowControl/>
        <w:spacing w:before="360" w:after="240"/>
        <w:jc w:val="left"/>
        <w:outlineLvl w:val="3"/>
        <w:rPr>
          <w:rFonts w:ascii="Segoe UI" w:hAnsi="Segoe UI" w:eastAsia="宋体" w:cs="Segoe UI"/>
          <w:b/>
          <w:bCs/>
          <w:color w:val="333333"/>
          <w:kern w:val="0"/>
          <w:szCs w:val="21"/>
        </w:rPr>
      </w:pPr>
      <w:r>
        <w:rPr>
          <w:rFonts w:ascii="Segoe UI" w:hAnsi="Segoe UI" w:eastAsia="宋体" w:cs="Segoe UI"/>
          <w:b/>
          <w:bCs/>
          <w:color w:val="333333"/>
          <w:kern w:val="0"/>
          <w:szCs w:val="21"/>
        </w:rPr>
        <w:t>AI编程参考提示词</w:t>
      </w:r>
    </w:p>
    <w:p w14:paraId="05F58E55">
      <w:pPr>
        <w:widowControl/>
        <w:spacing w:after="240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编写Python代码：1.按每日截面用LGBM模型打分，选Top5股票；2.实现1~2日中频调仓回测，每日换仓、等权持仓；3.计算累计收益、年化收益、最大回撤、日胜率、夏普比率；4.绘制策略净值与沪深300对比图，输出回测报告。</w:t>
      </w:r>
    </w:p>
    <w:p w14:paraId="38620CF3">
      <w:pPr>
        <w:widowControl/>
        <w:spacing w:before="360" w:after="240"/>
        <w:jc w:val="left"/>
        <w:outlineLvl w:val="1"/>
        <w:rPr>
          <w:rFonts w:ascii="Segoe UI" w:hAnsi="Segoe UI" w:eastAsia="宋体" w:cs="Segoe UI"/>
          <w:b/>
          <w:bCs/>
          <w:color w:val="333333"/>
          <w:kern w:val="0"/>
          <w:sz w:val="36"/>
          <w:szCs w:val="36"/>
        </w:rPr>
      </w:pPr>
      <w:r>
        <w:rPr>
          <w:rFonts w:ascii="Segoe UI" w:hAnsi="Segoe UI" w:eastAsia="宋体" w:cs="Segoe UI"/>
          <w:b/>
          <w:bCs/>
          <w:color w:val="333333"/>
          <w:kern w:val="0"/>
          <w:sz w:val="36"/>
          <w:szCs w:val="36"/>
        </w:rPr>
        <w:t>五、提交要求</w:t>
      </w:r>
    </w:p>
    <w:p w14:paraId="2497975A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附件：PPT + AI</w:t>
      </w:r>
      <w:r>
        <w:rPr>
          <w:rFonts w:hint="eastAsia" w:ascii="Segoe UI" w:hAnsi="Segoe UI" w:eastAsia="宋体" w:cs="Segoe UI"/>
          <w:color w:val="333333"/>
          <w:kern w:val="0"/>
          <w:szCs w:val="21"/>
          <w:lang w:val="en-US" w:eastAsia="zh-CN"/>
        </w:rPr>
        <w:t>代码审核记录+AI交互记录+</w:t>
      </w:r>
      <w:r>
        <w:rPr>
          <w:rFonts w:ascii="Segoe UI" w:hAnsi="Segoe UI" w:eastAsia="宋体" w:cs="Segoe UI"/>
          <w:color w:val="333333"/>
          <w:kern w:val="0"/>
          <w:szCs w:val="21"/>
        </w:rPr>
        <w:t xml:space="preserve"> 回测图表/指标表格</w:t>
      </w:r>
    </w:p>
    <w:p w14:paraId="66961FB3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命名：学号+姓名+作业4B</w:t>
      </w:r>
    </w:p>
    <w:p w14:paraId="284B0539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Segoe UI" w:hAnsi="Segoe UI" w:eastAsia="宋体" w:cs="Segoe UI"/>
          <w:color w:val="333333"/>
          <w:kern w:val="0"/>
          <w:szCs w:val="21"/>
        </w:rPr>
      </w:pPr>
      <w:r>
        <w:rPr>
          <w:rFonts w:ascii="Segoe UI" w:hAnsi="Segoe UI" w:eastAsia="宋体" w:cs="Segoe UI"/>
          <w:color w:val="333333"/>
          <w:kern w:val="0"/>
          <w:szCs w:val="21"/>
        </w:rPr>
        <w:t>展示：有效因子、IC/IR/共线结果、模型特征重要性、选股规则、回测核心指标</w:t>
      </w:r>
    </w:p>
    <w:p w14:paraId="48E279C7"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F04566"/>
    <w:multiLevelType w:val="multilevel"/>
    <w:tmpl w:val="0EF045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E122F7"/>
    <w:multiLevelType w:val="multilevel"/>
    <w:tmpl w:val="14E122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9810F09"/>
    <w:multiLevelType w:val="multilevel"/>
    <w:tmpl w:val="19810F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E4B55A9"/>
    <w:multiLevelType w:val="multilevel"/>
    <w:tmpl w:val="1E4B55A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2017FE4"/>
    <w:multiLevelType w:val="multilevel"/>
    <w:tmpl w:val="32017F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3D1C2B98"/>
    <w:multiLevelType w:val="multilevel"/>
    <w:tmpl w:val="3D1C2B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D1D36C6"/>
    <w:multiLevelType w:val="multilevel"/>
    <w:tmpl w:val="3D1D36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54D52E9"/>
    <w:multiLevelType w:val="multilevel"/>
    <w:tmpl w:val="454D52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AF72BD4"/>
    <w:multiLevelType w:val="multilevel"/>
    <w:tmpl w:val="4AF72B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4E776D0"/>
    <w:multiLevelType w:val="multilevel"/>
    <w:tmpl w:val="54E776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BBA4629"/>
    <w:multiLevelType w:val="multilevel"/>
    <w:tmpl w:val="5BBA46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28D15A3"/>
    <w:multiLevelType w:val="multilevel"/>
    <w:tmpl w:val="628D15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6A9820A1"/>
    <w:multiLevelType w:val="multilevel"/>
    <w:tmpl w:val="6A9820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6EBD1AF9"/>
    <w:multiLevelType w:val="multilevel"/>
    <w:tmpl w:val="6EBD1A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12"/>
  </w:num>
  <w:num w:numId="4">
    <w:abstractNumId w:val="6"/>
  </w:num>
  <w:num w:numId="5">
    <w:abstractNumId w:val="7"/>
  </w:num>
  <w:num w:numId="6">
    <w:abstractNumId w:val="0"/>
  </w:num>
  <w:num w:numId="7">
    <w:abstractNumId w:val="11"/>
  </w:num>
  <w:num w:numId="8">
    <w:abstractNumId w:val="1"/>
  </w:num>
  <w:num w:numId="9">
    <w:abstractNumId w:val="5"/>
  </w:num>
  <w:num w:numId="10">
    <w:abstractNumId w:val="9"/>
  </w:num>
  <w:num w:numId="11">
    <w:abstractNumId w:val="10"/>
  </w:num>
  <w:num w:numId="12">
    <w:abstractNumId w:val="2"/>
  </w:num>
  <w:num w:numId="13">
    <w:abstractNumId w:val="8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1D5B"/>
    <w:rsid w:val="0006384E"/>
    <w:rsid w:val="0008206E"/>
    <w:rsid w:val="001551B3"/>
    <w:rsid w:val="002167AE"/>
    <w:rsid w:val="00261B35"/>
    <w:rsid w:val="00434F33"/>
    <w:rsid w:val="004E458D"/>
    <w:rsid w:val="005A0C29"/>
    <w:rsid w:val="005B6AC9"/>
    <w:rsid w:val="006B151C"/>
    <w:rsid w:val="0096203A"/>
    <w:rsid w:val="00A5140E"/>
    <w:rsid w:val="00B667C5"/>
    <w:rsid w:val="00C90EF0"/>
    <w:rsid w:val="00EB1D5B"/>
    <w:rsid w:val="00F17CF6"/>
    <w:rsid w:val="00F55BB9"/>
    <w:rsid w:val="00FC3408"/>
    <w:rsid w:val="11AC4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link w:val="11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link w:val="12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link w:val="13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link w:val="14"/>
    <w:qFormat/>
    <w:uiPriority w:val="9"/>
    <w:pPr>
      <w:widowControl/>
      <w:spacing w:before="100" w:beforeAutospacing="1" w:after="100" w:afterAutospacing="1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link w:val="16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TML Code"/>
    <w:basedOn w:val="8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1">
    <w:name w:val="标题 1 字符"/>
    <w:basedOn w:val="8"/>
    <w:link w:val="2"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12">
    <w:name w:val="标题 2 字符"/>
    <w:basedOn w:val="8"/>
    <w:link w:val="3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3">
    <w:name w:val="标题 3 字符"/>
    <w:basedOn w:val="8"/>
    <w:link w:val="4"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4">
    <w:name w:val="标题 4 字符"/>
    <w:basedOn w:val="8"/>
    <w:link w:val="5"/>
    <w:uiPriority w:val="9"/>
    <w:rPr>
      <w:rFonts w:ascii="宋体" w:hAnsi="宋体" w:eastAsia="宋体" w:cs="宋体"/>
      <w:b/>
      <w:bCs/>
      <w:kern w:val="0"/>
      <w:sz w:val="24"/>
      <w:szCs w:val="24"/>
    </w:rPr>
  </w:style>
  <w:style w:type="paragraph" w:customStyle="1" w:styleId="15">
    <w:name w:val="code-line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16">
    <w:name w:val="HTML 预设格式 字符"/>
    <w:basedOn w:val="8"/>
    <w:link w:val="6"/>
    <w:semiHidden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17">
    <w:name w:val="hljs-comment"/>
    <w:basedOn w:val="8"/>
    <w:uiPriority w:val="0"/>
  </w:style>
  <w:style w:type="character" w:customStyle="1" w:styleId="18">
    <w:name w:val="hljs-keyword"/>
    <w:basedOn w:val="8"/>
    <w:uiPriority w:val="0"/>
  </w:style>
  <w:style w:type="character" w:customStyle="1" w:styleId="19">
    <w:name w:val="hljs-string"/>
    <w:basedOn w:val="8"/>
    <w:uiPriority w:val="0"/>
  </w:style>
  <w:style w:type="character" w:customStyle="1" w:styleId="20">
    <w:name w:val="hljs-number"/>
    <w:basedOn w:val="8"/>
    <w:uiPriority w:val="0"/>
  </w:style>
  <w:style w:type="character" w:customStyle="1" w:styleId="21">
    <w:name w:val="hljs-title"/>
    <w:basedOn w:val="8"/>
    <w:uiPriority w:val="0"/>
  </w:style>
  <w:style w:type="character" w:customStyle="1" w:styleId="22">
    <w:name w:val="hljs-params"/>
    <w:basedOn w:val="8"/>
    <w:uiPriority w:val="0"/>
  </w:style>
  <w:style w:type="character" w:customStyle="1" w:styleId="23">
    <w:name w:val="hljs-built_in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2714</Words>
  <Characters>3914</Characters>
  <Lines>38</Lines>
  <Paragraphs>10</Paragraphs>
  <TotalTime>93</TotalTime>
  <ScaleCrop>false</ScaleCrop>
  <LinksUpToDate>false</LinksUpToDate>
  <CharactersWithSpaces>4110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2026-06-01T19:28:00Z</dcterms:created>
  <dc:creator>braid wang</dc:creator>
  <cp:lastModifiedBy>西岭云</cp:lastModifiedBy>
  <dcterms:modified xsi:type="dcterms:W3CDTF">2026-06-04T06:20:45Z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eyJoZGlkIjoiNWYwYjQ2NWVhN2MwZmI3NmQzNTU4MzRmZjU1OGFhZjAiLCJ1c2VySWQiOiIzMDI3MzY4MjkifQ==</vt:lpwstr>
  </property>
  <property fmtid="{D5CDD505-2E9C-101B-9397-08002B2CF9AE}" pid="3" name="KSOProductBuildVer">
    <vt:lpwstr>2052-12.1.0.26375</vt:lpwstr>
  </property>
  <property fmtid="{D5CDD505-2E9C-101B-9397-08002B2CF9AE}" pid="4" name="ICV">
    <vt:lpwstr>FBA48944F4D744B487C14F5765A779D9_12</vt:lpwstr>
  </property>
</Properties>
</file>