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491B" w14:textId="7A8A3CC7" w:rsidR="00B47AB6" w:rsidRPr="00B47AB6" w:rsidRDefault="00B47AB6" w:rsidP="00B47AB6">
      <w:pPr>
        <w:widowControl/>
        <w:spacing w:after="240"/>
        <w:jc w:val="center"/>
        <w:outlineLvl w:val="0"/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</w:pP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量化</w:t>
      </w:r>
      <w:r w:rsidR="00C60CF4">
        <w:rPr>
          <w:rFonts w:ascii="Segoe UI" w:eastAsia="宋体" w:hAnsi="Segoe UI" w:cs="Segoe UI" w:hint="eastAsia"/>
          <w:b/>
          <w:bCs/>
          <w:color w:val="333333"/>
          <w:kern w:val="36"/>
          <w:sz w:val="48"/>
          <w:szCs w:val="48"/>
        </w:rPr>
        <w:t>作业</w:t>
      </w: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代码审查与修复表</w:t>
      </w:r>
    </w:p>
    <w:p w14:paraId="590A4362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填写说明</w:t>
      </w:r>
    </w:p>
    <w:p w14:paraId="79C7F7BD" w14:textId="7063D78C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本表为作业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Cs w:val="21"/>
        </w:rPr>
        <w:t>必填附件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，需随策略代码、多轮交互日志一同提交；</w:t>
      </w:r>
    </w:p>
    <w:p w14:paraId="07781882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「代码出错位置」填写规范：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策略文件路径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 xml:space="preserve"> + 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行号范围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 xml:space="preserve"> + 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核心错误代码片段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，无错误填「无」；</w:t>
      </w:r>
    </w:p>
    <w:p w14:paraId="2550D6AB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「严重等级」定义：</w:t>
      </w:r>
    </w:p>
    <w:p w14:paraId="294834BD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高（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P0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）：致命缺陷，直接导致策略逻辑失效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proofErr w:type="gramStart"/>
      <w:r w:rsidRPr="00B47AB6">
        <w:rPr>
          <w:rFonts w:ascii="Segoe UI" w:eastAsia="宋体" w:hAnsi="Segoe UI" w:cs="Segoe UI"/>
          <w:color w:val="333333"/>
          <w:kern w:val="0"/>
          <w:szCs w:val="21"/>
        </w:rPr>
        <w:t>回测失真</w:t>
      </w:r>
      <w:proofErr w:type="gramEnd"/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实盘亏损，必须修复</w:t>
      </w:r>
    </w:p>
    <w:p w14:paraId="521C0F99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中（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P1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）：核心缺陷，影响策略稳定性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收益真实性，建议修复</w:t>
      </w:r>
    </w:p>
    <w:p w14:paraId="198F51BA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低（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P2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）：优化类问题，不影响核心逻辑，可选择性修复</w:t>
      </w:r>
    </w:p>
    <w:p w14:paraId="2A3F0AB0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「修复情况」选项：未修复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 xml:space="preserve"> / 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部分修复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 xml:space="preserve"> / 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已修复，需同步填写「修复说明」。</w:t>
      </w:r>
    </w:p>
    <w:p w14:paraId="4F89CBAB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4C87A12D">
          <v:rect id="_x0000_i1025" style="width:0;height:.75pt" o:hralign="center" o:hrstd="t" o:hr="t" fillcolor="#a0a0a0" stroked="f"/>
        </w:pict>
      </w:r>
    </w:p>
    <w:p w14:paraId="74572EC4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一、基础信息填写区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550"/>
      </w:tblGrid>
      <w:tr w:rsidR="00B47AB6" w:rsidRPr="00B47AB6" w14:paraId="7A9EAC9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A18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项目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FA30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填写内容</w:t>
            </w:r>
          </w:p>
        </w:tc>
      </w:tr>
      <w:tr w:rsidR="00B47AB6" w:rsidRPr="00B47AB6" w14:paraId="30ABF1DF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F332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学生姓名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96DF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</w:tr>
      <w:tr w:rsidR="00B47AB6" w:rsidRPr="00B47AB6" w14:paraId="4794C55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AD5B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学号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6E32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</w:tr>
      <w:tr w:rsidR="00B47AB6" w:rsidRPr="00B47AB6" w14:paraId="064DEAF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3EF67" w14:textId="60AB5AE1" w:rsidR="00B47AB6" w:rsidRPr="00B47AB6" w:rsidRDefault="00C60CF4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color w:val="333333"/>
                <w:kern w:val="0"/>
                <w:szCs w:val="21"/>
              </w:rPr>
              <w:t>作业</w:t>
            </w:r>
            <w:r w:rsidR="00B47AB6"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416D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</w:tr>
      <w:tr w:rsidR="00B47AB6" w:rsidRPr="00B47AB6" w14:paraId="4EF15C0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3BAE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策略周期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4CA4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日频短线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周频中线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混合周期</w:t>
            </w:r>
          </w:p>
        </w:tc>
      </w:tr>
      <w:tr w:rsidR="00B47AB6" w:rsidRPr="00B47AB6" w14:paraId="5CF63A5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3C4D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代码来源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35F9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纯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人工修改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人工自主编写</w:t>
            </w:r>
          </w:p>
        </w:tc>
      </w:tr>
      <w:tr w:rsidR="00B47AB6" w:rsidRPr="00B47AB6" w14:paraId="78C47F9D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9987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生成内容占比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BCEA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______%</w:t>
            </w:r>
          </w:p>
        </w:tc>
      </w:tr>
      <w:tr w:rsidR="00B47AB6" w:rsidRPr="00B47AB6" w14:paraId="201D862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08FD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策略核心因子类型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BE56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纯快变量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快变量为主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慢变量过滤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快慢变量混合</w:t>
            </w:r>
          </w:p>
        </w:tc>
      </w:tr>
    </w:tbl>
    <w:p w14:paraId="27AF594F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0A3F23A7">
          <v:rect id="_x0000_i1026" style="width:0;height:.75pt" o:hralign="center" o:hrstd="t" o:hr="t" fillcolor="#a0a0a0" stroked="f"/>
        </w:pict>
      </w:r>
    </w:p>
    <w:p w14:paraId="0D0203D1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二、量化策略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代码核心审查与修复表（主表）</w:t>
      </w:r>
    </w:p>
    <w:p w14:paraId="215933C8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lastRenderedPageBreak/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1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：时序逻辑与未来函数专项审查（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高频重灾区，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P0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级核心）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3140"/>
        <w:gridCol w:w="827"/>
        <w:gridCol w:w="827"/>
        <w:gridCol w:w="701"/>
        <w:gridCol w:w="701"/>
        <w:gridCol w:w="1482"/>
      </w:tblGrid>
      <w:tr w:rsidR="00B47AB6" w:rsidRPr="00B47AB6" w14:paraId="6979DD07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444B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DF2A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200F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B4A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0D90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3FEB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EE23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1EF549C9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14F7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1DCE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无未来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函数：交易信号仅使用历史数据，禁止用当日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未来数据计算当日信号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5240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3E64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6F60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8831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9030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52E0D542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C574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CD53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时间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戳严格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递增：数据加载、信号计算、交易执行按时间顺序执行，无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乱序访问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BC4E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E387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9505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C50B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1ED1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2677373E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2194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0532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信号与交易分离：今日计算的信号，仅用于次日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下一个周期交易，无「当日信号当日成交」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3701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EEEA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74D0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2A16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74F3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069B3F5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F10D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55D8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样本数据严格隔离：训练集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测试集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回测集无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数据泄露，无「用未来数据优化参数」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2971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BB92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AFEE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2002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C5A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47EFD52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9141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588E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漂移测试通过：删除未来数据后，策略信号与核心逻辑保持稳定，无隐性未来函数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1129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3895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7CD6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0C91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FE9F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6D09E3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2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：因子与数据处理专项审查（高频快变量专属）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166"/>
        <w:gridCol w:w="823"/>
        <w:gridCol w:w="823"/>
        <w:gridCol w:w="698"/>
        <w:gridCol w:w="698"/>
        <w:gridCol w:w="1471"/>
      </w:tblGrid>
      <w:tr w:rsidR="00B47AB6" w:rsidRPr="00B47AB6" w14:paraId="6B87F9F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1AF0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417E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5BE8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B111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A92B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B52A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E477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1AE60FA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C735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25DF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快变量筛选合理：仅使用与策略周期匹配的日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周频快变量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，无周期错配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BF33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E9C6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345B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6EBC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F164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35FE1C8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3A1E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62C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慢变量使用合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：慢变量仅用于风险过滤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风格筛选，不直接作为短线交易主信号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AC19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1213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4C5C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51C9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5D15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1BB29ED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939F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27BA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高频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数据去噪完整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：异常值剔除、滑动平均、滤波处理等，无「用单日极端数据做因子」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F4A8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AFD1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CA30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7933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89ED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53F444B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42D7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1112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无因子共线性：相关系数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&gt;0.7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的同源因子已剔除，无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堆砌的重复逻辑因子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B3C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9F39C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85C7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0EF0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F455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46FF119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C209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AA54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因子经济逻辑清晰：所有因子均有明确的金融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交易逻辑支撑，无纯数学组合的无效因子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39AF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DC1F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6E35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C6CC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6D96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252D18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3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：交易与</w:t>
      </w:r>
      <w:proofErr w:type="gramStart"/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风控合规</w:t>
      </w:r>
      <w:proofErr w:type="gramEnd"/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专项审查（班级规则强制要求）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239"/>
        <w:gridCol w:w="810"/>
        <w:gridCol w:w="810"/>
        <w:gridCol w:w="691"/>
        <w:gridCol w:w="691"/>
        <w:gridCol w:w="1441"/>
      </w:tblGrid>
      <w:tr w:rsidR="00B47AB6" w:rsidRPr="00B47AB6" w14:paraId="14289BC3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C212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1709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A634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024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02C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CEED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3531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731D8D9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C56F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1146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交易成本完整：已嵌入佣金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印花税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滑点（综合成本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≥0.3%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），无零成本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理想化回测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78E3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726E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B2BE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F1BA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5738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5CC972F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D65E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BCBA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：单只个股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≤30%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，账户总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≤80%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，无满仓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重仓梭哈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092F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4058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3B03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B974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7573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6D2D58D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CE22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C92E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止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损机制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完善：单笔交易止损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≤5%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，账户总回撤控制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≤15%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，有明确的风险触发规则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CDCF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503C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E0D3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D7B1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86DE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2A8CB332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5F7B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3.4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DDA0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流动性过滤：已剔除小盘股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低流动性品种，无「无法按理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想价格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成交」的标的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1828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93BE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CDD9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D083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158E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098ED23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342D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7ABA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调仓频率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周调仓次数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≤2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次，禁止日内交易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高频刷单，符合班级规则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15AE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9D21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EC68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4008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4940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723586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4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代码特有缺陷专项审查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254"/>
        <w:gridCol w:w="808"/>
        <w:gridCol w:w="808"/>
        <w:gridCol w:w="689"/>
        <w:gridCol w:w="689"/>
        <w:gridCol w:w="1434"/>
      </w:tblGrid>
      <w:tr w:rsidR="00B47AB6" w:rsidRPr="00B47AB6" w14:paraId="79D52B4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257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A468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0BB2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8A8A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ACE3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5A24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FF0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3B586E4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94D7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D4A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幻觉：无虚构的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API/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函数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库调用，所有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import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的依赖真实存在且版本兼容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6AE2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304F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2AE4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3DFB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B0D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293880E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B505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5FC6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无逻辑矛盾：条件判断无冲突，交易方向明确，无「同时买入和卖出」的悖论代码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21E9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B7E4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7A52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7E10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16A5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6715B6F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6629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1A6B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无过度拟合：策略在样本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外数据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表现稳定，无「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回测收益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极高、实盘持续亏损」的过拟合问题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6264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7638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24E4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17C3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64D7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40E75689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86C6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2B8D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无硬编码参数：关键参数（如持仓周期、止损比例、因子窗口）可配置，无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固定死的魔法数字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A677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F81F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9BCD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D80D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43C3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650D87F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F9AF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8BD5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无冗余代码：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生成的重复逻辑、无效循环、未使用的变量已删除，代码简洁高效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5652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5CD1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9382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D143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DD4E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3261E1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lastRenderedPageBreak/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5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：代码可读性与可维护性审查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314"/>
        <w:gridCol w:w="797"/>
        <w:gridCol w:w="797"/>
        <w:gridCol w:w="683"/>
        <w:gridCol w:w="683"/>
        <w:gridCol w:w="1409"/>
      </w:tblGrid>
      <w:tr w:rsidR="00B47AB6" w:rsidRPr="00B47AB6" w14:paraId="795E66CC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C5E5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D477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A874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5793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881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39CF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A71D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7EDC531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A9F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8301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注释完整：核心逻辑、因子计算、交易规则、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风控机制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均有清晰的中文注释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A38A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C250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5469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2393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ADB4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2AF0339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CA10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B47C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命名规范：变量、函数、类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名符合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行业标准，见名知意，无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生成的无意义命名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CEE1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6B1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6A68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01C6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E898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0A5E93F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87B8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7C90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结构清晰：代码按「数据加载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因子计算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信号生成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交易执行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风控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回测」模块化拆分，无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单文件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堆砌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8DDD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3BDC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43D0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534A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24DC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0A9DBF1C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F98A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F959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错误处理完善：有完整的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try-catch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异常捕获，网络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计算异常有明确的处理逻辑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B46D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925F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1F3E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6E53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387C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47AB6" w:rsidRPr="00B47AB6" w14:paraId="645F0A8E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93D6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5AD6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结果可复现：随机种子固定，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回测结果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可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100%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复现，无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生成的随机波动代码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9199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A8586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536D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6EAB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7694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D24DF26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33476B27">
          <v:rect id="_x0000_i1027" style="width:0;height:.75pt" o:hralign="center" o:hrstd="t" o:hr="t" fillcolor="#a0a0a0" stroked="f"/>
        </w:pict>
      </w:r>
    </w:p>
    <w:p w14:paraId="7A918E6A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三、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代码整体评估与总结区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4102"/>
      </w:tblGrid>
      <w:tr w:rsidR="00B47AB6" w:rsidRPr="00B47AB6" w14:paraId="3692DC16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1820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项目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51FD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填写内容</w:t>
            </w:r>
          </w:p>
        </w:tc>
      </w:tr>
      <w:tr w:rsidR="00B47AB6" w:rsidRPr="00B47AB6" w14:paraId="150B9D4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20A3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本次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生成代码的核心缺陷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TOP3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DB73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>2.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>3.</w:t>
            </w:r>
          </w:p>
        </w:tc>
      </w:tr>
      <w:tr w:rsidR="00B47AB6" w:rsidRPr="00B47AB6" w14:paraId="2D363AD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D081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人工修复与优化的核心亮点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BC0F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>2.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>3.</w:t>
            </w:r>
          </w:p>
        </w:tc>
      </w:tr>
      <w:tr w:rsidR="00B47AB6" w:rsidRPr="00B47AB6" w14:paraId="1FC97435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B262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本次策略最终合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性结论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3E29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完全合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（所有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P0/P1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问题已修复）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基本合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（仅剩余低优先级优化问题）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br/>
              <w:t xml:space="preserve">□ 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不合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（存在未修复的致命缺陷）</w:t>
            </w:r>
          </w:p>
        </w:tc>
      </w:tr>
      <w:tr w:rsidR="00B47AB6" w:rsidRPr="00B47AB6" w14:paraId="7E33BFED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BE08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对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在量化高频策略中局限性的总结反思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2967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</w:p>
        </w:tc>
      </w:tr>
    </w:tbl>
    <w:p w14:paraId="2256DFBC" w14:textId="1BC766EF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B47AB6" w:rsidRPr="00B47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3048"/>
    <w:multiLevelType w:val="multilevel"/>
    <w:tmpl w:val="CF8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F1682"/>
    <w:multiLevelType w:val="multilevel"/>
    <w:tmpl w:val="4F84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90"/>
    <w:rsid w:val="00027A90"/>
    <w:rsid w:val="001537AC"/>
    <w:rsid w:val="00525994"/>
    <w:rsid w:val="008A2959"/>
    <w:rsid w:val="00B47AB6"/>
    <w:rsid w:val="00C60CF4"/>
    <w:rsid w:val="00CC1E2F"/>
    <w:rsid w:val="00F7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9DE"/>
  <w15:chartTrackingRefBased/>
  <w15:docId w15:val="{270DC0A4-8E4A-4ADA-A565-85F75A22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47AB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47AB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7AB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AB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7AB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47AB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code-line">
    <w:name w:val="code-line"/>
    <w:basedOn w:val="a"/>
    <w:rsid w:val="00B47A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47AB6"/>
    <w:rPr>
      <w:b/>
      <w:bCs/>
    </w:rPr>
  </w:style>
  <w:style w:type="character" w:styleId="HTML">
    <w:name w:val="HTML Code"/>
    <w:basedOn w:val="a0"/>
    <w:uiPriority w:val="99"/>
    <w:semiHidden/>
    <w:unhideWhenUsed/>
    <w:rsid w:val="00B47A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4</cp:revision>
  <dcterms:created xsi:type="dcterms:W3CDTF">2026-06-02T03:47:00Z</dcterms:created>
  <dcterms:modified xsi:type="dcterms:W3CDTF">2026-06-02T03:48:00Z</dcterms:modified>
</cp:coreProperties>
</file>