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8BB30">
      <w:pPr>
        <w:jc w:val="center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《金融与经济数据挖掘》作业2：CAPM模型Python实现</w:t>
      </w:r>
    </w:p>
    <w:p w14:paraId="22EB828A">
      <w:pPr>
        <w:rPr>
          <w:rFonts w:ascii="宋体" w:hAnsi="宋体" w:eastAsia="宋体"/>
        </w:rPr>
      </w:pPr>
      <w:r>
        <w:rPr>
          <w:rFonts w:ascii="宋体" w:hAnsi="宋体" w:eastAsia="宋体"/>
        </w:rPr>
        <w:t>适配课程体系：CAPM→二因子模型→四因子</w:t>
      </w:r>
    </w:p>
    <w:p w14:paraId="3FFBBB27">
      <w:pPr>
        <w:rPr>
          <w:rFonts w:ascii="宋体" w:hAnsi="宋体" w:eastAsia="宋体"/>
        </w:rPr>
      </w:pPr>
      <w:r>
        <w:rPr>
          <w:rFonts w:ascii="宋体" w:hAnsi="宋体" w:eastAsia="宋体"/>
        </w:rPr>
        <w:t>核心教学目标：掌握CAPM拟合逻辑→对比理论Alpha收益与实际持有收益→理解Alpha难以获取的真实市场逻辑→为后续「Alpha持续性、市场波动、行为金融」做铺垫</w:t>
      </w:r>
    </w:p>
    <w:p w14:paraId="3747AAE6">
      <w:pPr>
        <w:rPr>
          <w:rFonts w:ascii="宋体" w:hAnsi="宋体" w:eastAsia="宋体"/>
        </w:rPr>
      </w:pPr>
    </w:p>
    <w:p w14:paraId="605C4B67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一、作业基本信息</w:t>
      </w:r>
    </w:p>
    <w:p w14:paraId="4FC59C0A">
      <w:pPr>
        <w:rPr>
          <w:rFonts w:ascii="宋体" w:hAnsi="宋体" w:eastAsia="宋体"/>
        </w:rPr>
      </w:pPr>
      <w:r>
        <w:rPr>
          <w:rFonts w:ascii="宋体" w:hAnsi="宋体" w:eastAsia="宋体"/>
        </w:rPr>
        <w:t>- 编程工具：Python</w:t>
      </w:r>
    </w:p>
    <w:p w14:paraId="6AFFFB81">
      <w:pPr>
        <w:rPr>
          <w:rFonts w:ascii="宋体" w:hAnsi="宋体" w:eastAsia="宋体"/>
        </w:rPr>
      </w:pPr>
      <w:r>
        <w:rPr>
          <w:rFonts w:ascii="宋体" w:hAnsi="宋体" w:eastAsia="宋体"/>
        </w:rPr>
        <w:t>- 数据接口：baostock（免费稳定，无注册门槛）</w:t>
      </w:r>
    </w:p>
    <w:p w14:paraId="796075D3">
      <w:pPr>
        <w:rPr>
          <w:rFonts w:ascii="宋体" w:hAnsi="宋体" w:eastAsia="宋体"/>
        </w:rPr>
      </w:pPr>
      <w:r>
        <w:rPr>
          <w:rFonts w:ascii="宋体" w:hAnsi="宋体" w:eastAsia="宋体"/>
        </w:rPr>
        <w:t>- 研究标的：6只股票（贵州茅台、中国石油、五粮液、泸州老窖、招商银行、美的集团）</w:t>
      </w:r>
    </w:p>
    <w:p w14:paraId="04952A80">
      <w:pPr>
        <w:rPr>
          <w:rFonts w:ascii="宋体" w:hAnsi="宋体" w:eastAsia="宋体"/>
        </w:rPr>
      </w:pPr>
      <w:r>
        <w:rPr>
          <w:rFonts w:ascii="宋体" w:hAnsi="宋体" w:eastAsia="宋体"/>
        </w:rPr>
        <w:t>- 市场基准：沪深300指数（000300.SH，CAPM标准市场收益）</w:t>
      </w:r>
    </w:p>
    <w:p w14:paraId="698C13F0">
      <w:pPr>
        <w:rPr>
          <w:rFonts w:ascii="宋体" w:hAnsi="宋体" w:eastAsia="宋体"/>
        </w:rPr>
      </w:pPr>
    </w:p>
    <w:p w14:paraId="3DE5DB2B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 xml:space="preserve"> 二、数据时间规范</w:t>
      </w:r>
    </w:p>
    <w:p w14:paraId="3615D990">
      <w:pPr>
        <w:rPr>
          <w:rFonts w:ascii="宋体" w:hAnsi="宋体" w:eastAsia="宋体"/>
        </w:rPr>
      </w:pPr>
      <w:r>
        <w:rPr>
          <w:rFonts w:ascii="宋体" w:hAnsi="宋体" w:eastAsia="宋体"/>
        </w:rPr>
        <w:t>1. 模型拟合期：2020-01-01 — 2022-12-31（2年日度数据）</w:t>
      </w:r>
    </w:p>
    <w:p w14:paraId="7F483416">
      <w:pPr>
        <w:rPr>
          <w:rFonts w:ascii="宋体" w:hAnsi="宋体" w:eastAsia="宋体"/>
        </w:rPr>
      </w:pPr>
      <w:r>
        <w:rPr>
          <w:rFonts w:ascii="宋体" w:hAnsi="宋体" w:eastAsia="宋体"/>
        </w:rPr>
        <w:t>2. 策略回测期：2023-01-01 — 2024-12-31（2年完整历史数据，无未来数据）</w:t>
      </w:r>
    </w:p>
    <w:p w14:paraId="10033AD6">
      <w:pPr>
        <w:rPr>
          <w:rFonts w:ascii="宋体" w:hAnsi="宋体" w:eastAsia="宋体"/>
        </w:rPr>
      </w:pPr>
    </w:p>
    <w:p w14:paraId="66F4ED8B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 xml:space="preserve"> 三、核心任务要求</w:t>
      </w:r>
    </w:p>
    <w:p w14:paraId="5D49EA7A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 xml:space="preserve"> 任务1：数据获取与预处理</w:t>
      </w:r>
    </w:p>
    <w:p w14:paraId="77B52342">
      <w:pPr>
        <w:rPr>
          <w:rFonts w:ascii="宋体" w:hAnsi="宋体" w:eastAsia="宋体"/>
        </w:rPr>
      </w:pPr>
      <w:r>
        <w:rPr>
          <w:rFonts w:ascii="宋体" w:hAnsi="宋体" w:eastAsia="宋体"/>
        </w:rPr>
        <w:t>1.  通过baostock获取6只股票+沪深300指数的前复权收盘价</w:t>
      </w:r>
    </w:p>
    <w:p w14:paraId="7B168C1D">
      <w:pPr>
        <w:rPr>
          <w:rFonts w:ascii="宋体" w:hAnsi="宋体" w:eastAsia="宋体"/>
        </w:rPr>
      </w:pPr>
      <w:r>
        <w:rPr>
          <w:rFonts w:ascii="宋体" w:hAnsi="宋体" w:eastAsia="宋体"/>
        </w:rPr>
        <w:t>2.  计算日收益率</w:t>
      </w:r>
      <w:r>
        <w:rPr>
          <w:rFonts w:hint="eastAsia" w:ascii="宋体" w:hAnsi="宋体" w:eastAsia="宋体"/>
        </w:rPr>
        <w:t>（每日价格变化）</w:t>
      </w:r>
      <w:r>
        <w:rPr>
          <w:rFonts w:ascii="宋体" w:hAnsi="宋体" w:eastAsia="宋体"/>
        </w:rPr>
        <w:t>，并对收益率做3σ原则异常值剔除（机构标准预处理）</w:t>
      </w:r>
    </w:p>
    <w:p w14:paraId="2B0A3F87">
      <w:pPr>
        <w:rPr>
          <w:rFonts w:ascii="宋体" w:hAnsi="宋体" w:eastAsia="宋体"/>
        </w:rPr>
      </w:pPr>
      <w:r>
        <w:rPr>
          <w:rFonts w:ascii="宋体" w:hAnsi="宋体" w:eastAsia="宋体"/>
        </w:rPr>
        <w:t>3.  无风险利率：采用国债年化收益率3%，转换为日无风险利率</w:t>
      </w:r>
    </w:p>
    <w:p w14:paraId="4333F5C9">
      <w:pPr>
        <w:rPr>
          <w:rFonts w:ascii="宋体" w:hAnsi="宋体" w:eastAsia="宋体"/>
        </w:rPr>
      </w:pPr>
    </w:p>
    <w:p w14:paraId="3B68EE65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 xml:space="preserve"> 任务2：CAPM模型拟合</w:t>
      </w:r>
    </w:p>
    <w:p w14:paraId="438E7261">
      <w:pPr>
        <w:rPr>
          <w:rFonts w:ascii="宋体" w:hAnsi="宋体" w:eastAsia="宋体"/>
        </w:rPr>
      </w:pPr>
      <w:r>
        <w:rPr>
          <w:rFonts w:ascii="宋体" w:hAnsi="宋体" w:eastAsia="宋体"/>
        </w:rPr>
        <w:t>1.  构建标准CAPM回归方程：</w:t>
      </w:r>
    </w:p>
    <w:p w14:paraId="4AC6DD56">
      <w:pPr>
        <w:ind w:firstLine="420"/>
        <w:rPr>
          <w:rFonts w:ascii="宋体" w:hAnsi="宋体" w:eastAsia="宋体"/>
        </w:rPr>
      </w:pPr>
      <w:r>
        <w:rPr>
          <w:rFonts w:ascii="宋体" w:hAnsi="宋体" w:eastAsia="宋体"/>
        </w:rPr>
        <w:t>`Ri - Rf = α + β×(Rm - Rf)`</w:t>
      </w:r>
    </w:p>
    <w:p w14:paraId="64A175BC">
      <w:pPr>
        <w:ind w:firstLine="420"/>
        <w:rPr>
          <w:rFonts w:ascii="宋体" w:hAnsi="宋体" w:eastAsia="宋体"/>
        </w:rPr>
      </w:pPr>
    </w:p>
    <w:p w14:paraId="01EA9982">
      <w:r>
        <w:rPr>
          <w:rFonts w:hint="eastAsia"/>
        </w:rPr>
        <w:t>Ri：代表个股</w:t>
      </w:r>
    </w:p>
    <w:p w14:paraId="200FB638">
      <w:r>
        <w:rPr>
          <w:rFonts w:hint="eastAsia"/>
        </w:rPr>
        <w:t>Rf：无风险资产，通常使用银行存款或国债的年化收益率</w:t>
      </w:r>
    </w:p>
    <w:p w14:paraId="15CE3959">
      <w:r>
        <w:rPr>
          <w:rFonts w:hint="eastAsia"/>
        </w:rPr>
        <w:t>Rm：市场指数收益率，即大盘收益率</w:t>
      </w:r>
    </w:p>
    <w:p w14:paraId="06EA78A1">
      <w:pPr>
        <w:ind w:firstLine="420"/>
        <w:rPr>
          <w:rFonts w:ascii="宋体" w:hAnsi="宋体" w:eastAsia="宋体"/>
        </w:rPr>
      </w:pPr>
    </w:p>
    <w:p w14:paraId="4A260DE0">
      <w:pPr>
        <w:rPr>
          <w:rFonts w:ascii="宋体" w:hAnsi="宋体" w:eastAsia="宋体"/>
        </w:rPr>
      </w:pPr>
      <w:r>
        <w:rPr>
          <w:rFonts w:ascii="宋体" w:hAnsi="宋体" w:eastAsia="宋体"/>
        </w:rPr>
        <w:t>2.  对6只股票分别完成模型拟合，输出每只股票的α（阿尔法）、β（贝塔）系数</w:t>
      </w:r>
    </w:p>
    <w:p w14:paraId="30EF17DA">
      <w:pPr>
        <w:rPr>
          <w:rFonts w:ascii="宋体" w:hAnsi="宋体" w:eastAsia="宋体"/>
        </w:rPr>
      </w:pPr>
      <w:r>
        <w:rPr>
          <w:rFonts w:ascii="宋体" w:hAnsi="宋体" w:eastAsia="宋体"/>
        </w:rPr>
        <w:t>3.  输出回归结果，解读系数显著性</w:t>
      </w:r>
    </w:p>
    <w:p w14:paraId="5F72D8FD">
      <w:pPr>
        <w:rPr>
          <w:rFonts w:ascii="宋体" w:hAnsi="宋体" w:eastAsia="宋体"/>
        </w:rPr>
      </w:pPr>
    </w:p>
    <w:p w14:paraId="53FB5719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 xml:space="preserve"> 任务3：核心回测验证（教学重点）</w:t>
      </w:r>
    </w:p>
    <w:p w14:paraId="6C493737">
      <w:pPr>
        <w:rPr>
          <w:rFonts w:ascii="宋体" w:hAnsi="宋体" w:eastAsia="宋体"/>
        </w:rPr>
      </w:pPr>
      <w:r>
        <w:rPr>
          <w:rFonts w:ascii="宋体" w:hAnsi="宋体" w:eastAsia="宋体"/>
        </w:rPr>
        <w:t>1.  基于拟合结果，筛选出6只股票中Alpha值最高的1只</w:t>
      </w:r>
    </w:p>
    <w:p w14:paraId="4FD830B7">
      <w:pPr>
        <w:rPr>
          <w:rFonts w:ascii="宋体" w:hAnsi="宋体" w:eastAsia="宋体"/>
        </w:rPr>
      </w:pPr>
      <w:r>
        <w:rPr>
          <w:rFonts w:ascii="宋体" w:hAnsi="宋体" w:eastAsia="宋体"/>
        </w:rPr>
        <w:t>2.  回测规则：</w:t>
      </w:r>
    </w:p>
    <w:p w14:paraId="33D1C083">
      <w:pPr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- 初始资金：100万元</w:t>
      </w:r>
    </w:p>
    <w:p w14:paraId="10D327E0">
      <w:pPr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- 2023年初全仓买入该高Alpha股票，长期持有至2024年末，不做任何买卖操作</w:t>
      </w:r>
    </w:p>
    <w:p w14:paraId="0FAD7E64">
      <w:pPr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- 计算持有期实际累计收益，绘制累计收益曲线</w:t>
      </w:r>
    </w:p>
    <w:p w14:paraId="0DD676C8">
      <w:pPr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- 同步对比沪深300指数基准收益</w:t>
      </w:r>
    </w:p>
    <w:p w14:paraId="4683806F">
      <w:pPr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3.  </w:t>
      </w:r>
      <w:r>
        <w:rPr>
          <w:rFonts w:hint="eastAsia" w:ascii="宋体" w:hAnsi="宋体" w:eastAsia="宋体"/>
        </w:rPr>
        <w:t>计算：累积收益率，最大回撤，卡玛比率（累积收益率/最大回撤），方便后续系列实验对比</w:t>
      </w:r>
    </w:p>
    <w:p w14:paraId="77978FD3">
      <w:pPr>
        <w:rPr>
          <w:rFonts w:ascii="宋体" w:hAnsi="宋体" w:eastAsia="宋体"/>
        </w:rPr>
      </w:pPr>
      <w:r>
        <w:rPr>
          <w:rFonts w:ascii="宋体" w:hAnsi="宋体" w:eastAsia="宋体"/>
        </w:rPr>
        <w:t>4.  核心要求：对比CAPM理论Alpha收益与长期持有实际收益</w:t>
      </w:r>
    </w:p>
    <w:p w14:paraId="0C758233">
      <w:pPr>
        <w:rPr>
          <w:rFonts w:ascii="宋体" w:hAnsi="宋体" w:eastAsia="宋体"/>
        </w:rPr>
      </w:pPr>
    </w:p>
    <w:p w14:paraId="13108B6A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 xml:space="preserve"> 任务4：结果分析与思考</w:t>
      </w:r>
    </w:p>
    <w:p w14:paraId="7CC10D6A">
      <w:pPr>
        <w:rPr>
          <w:rFonts w:ascii="宋体" w:hAnsi="宋体" w:eastAsia="宋体"/>
        </w:rPr>
      </w:pPr>
      <w:r>
        <w:rPr>
          <w:rFonts w:ascii="宋体" w:hAnsi="宋体" w:eastAsia="宋体"/>
        </w:rPr>
        <w:t>1.  单股分析：每只股票是否存在显著Alpha？贝塔系数反映何种波动特征？</w:t>
      </w:r>
    </w:p>
    <w:p w14:paraId="152C8649">
      <w:pPr>
        <w:rPr>
          <w:rFonts w:ascii="宋体" w:hAnsi="宋体" w:eastAsia="宋体"/>
        </w:rPr>
      </w:pPr>
      <w:r>
        <w:rPr>
          <w:rFonts w:ascii="宋体" w:hAnsi="宋体" w:eastAsia="宋体"/>
        </w:rPr>
        <w:t>2.  对比分析：6只股票的Alpha、Beta差异及行业/基本面原因</w:t>
      </w:r>
    </w:p>
    <w:p w14:paraId="68284BD9">
      <w:pPr>
        <w:rPr>
          <w:rFonts w:ascii="宋体" w:hAnsi="宋体" w:eastAsia="宋体"/>
        </w:rPr>
      </w:pPr>
      <w:r>
        <w:rPr>
          <w:rFonts w:ascii="宋体" w:hAnsi="宋体" w:eastAsia="宋体"/>
        </w:rPr>
        <w:t>3.  核心思考题（必答）：</w:t>
      </w:r>
    </w:p>
    <w:p w14:paraId="6CF2BFE9">
      <w:pPr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本次回测选择了理论Alpha最高的股票长期持有，最终是否获得了预期的超额收益？</w:t>
      </w:r>
    </w:p>
    <w:p w14:paraId="37B9460E">
      <w:pPr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结合市场波动、投资者情绪、持股周期、风险暴露、交易成本等角度，分析为什么理论上的Alpha收益，在真实市场中很难拿到？</w:t>
      </w:r>
    </w:p>
    <w:p w14:paraId="59C15D07">
      <w:pPr>
        <w:rPr>
          <w:rFonts w:ascii="宋体" w:hAnsi="宋体" w:eastAsia="宋体"/>
        </w:rPr>
      </w:pPr>
    </w:p>
    <w:p w14:paraId="6A1ABC7E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 xml:space="preserve"> 四、提交要求</w:t>
      </w:r>
    </w:p>
    <w:p w14:paraId="3EC74C8A">
      <w:pPr>
        <w:rPr>
          <w:rFonts w:ascii="宋体" w:hAnsi="宋体" w:eastAsia="宋体"/>
        </w:rPr>
      </w:pPr>
      <w:r>
        <w:rPr>
          <w:rFonts w:ascii="宋体" w:hAnsi="宋体" w:eastAsia="宋体"/>
        </w:rPr>
        <w:t>1. 材料：PPT（步骤+结果+分析）+ Python源码（完整可运行，带注释）</w:t>
      </w:r>
    </w:p>
    <w:p w14:paraId="7ED020BF">
      <w:pPr>
        <w:rPr>
          <w:rFonts w:ascii="宋体" w:hAnsi="宋体" w:eastAsia="宋体"/>
        </w:rPr>
      </w:pPr>
      <w:r>
        <w:rPr>
          <w:rFonts w:ascii="宋体" w:hAnsi="宋体" w:eastAsia="宋体"/>
        </w:rPr>
        <w:t>2. 提交方式：学习通上传PPT附件 + 代码正文/附件</w:t>
      </w:r>
    </w:p>
    <w:p w14:paraId="4DAB5572">
      <w:pPr>
        <w:rPr>
          <w:rFonts w:ascii="宋体" w:hAnsi="宋体" w:eastAsia="宋体"/>
        </w:rPr>
      </w:pPr>
      <w:r>
        <w:rPr>
          <w:rFonts w:ascii="宋体" w:hAnsi="宋体" w:eastAsia="宋体"/>
        </w:rPr>
        <w:t>3. 考核：代码正确性 + 数据分析合理性 + 课堂展示</w:t>
      </w:r>
    </w:p>
    <w:p w14:paraId="0B9D1903">
      <w:pPr>
        <w:rPr>
          <w:rFonts w:ascii="宋体" w:hAnsi="宋体" w:eastAsia="宋体"/>
        </w:rPr>
      </w:pPr>
    </w:p>
    <w:p w14:paraId="4562E73B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五、作业关键规范（必看）</w:t>
      </w:r>
    </w:p>
    <w:p w14:paraId="7E4D8DBC">
      <w:pPr>
        <w:rPr>
          <w:rFonts w:ascii="宋体" w:hAnsi="宋体" w:eastAsia="宋体"/>
        </w:rPr>
      </w:pPr>
      <w:r>
        <w:rPr>
          <w:rFonts w:ascii="宋体" w:hAnsi="宋体" w:eastAsia="宋体"/>
        </w:rPr>
        <w:t>1.  严禁使用原始股价直接回归，必须用日收益率建模，避免伪回归</w:t>
      </w:r>
    </w:p>
    <w:p w14:paraId="00435432">
      <w:pPr>
        <w:rPr>
          <w:rFonts w:ascii="宋体" w:hAnsi="宋体" w:eastAsia="宋体"/>
        </w:rPr>
      </w:pPr>
      <w:r>
        <w:rPr>
          <w:rFonts w:ascii="宋体" w:hAnsi="宋体" w:eastAsia="宋体"/>
        </w:rPr>
        <w:t>2.  收益率数据必须完成3σ异常值剔除，符合金融机构数据处理标准</w:t>
      </w:r>
    </w:p>
    <w:p w14:paraId="3201AF0C">
      <w:pPr>
        <w:rPr>
          <w:rFonts w:ascii="宋体" w:hAnsi="宋体" w:eastAsia="宋体"/>
        </w:rPr>
      </w:pPr>
      <w:r>
        <w:rPr>
          <w:rFonts w:ascii="宋体" w:hAnsi="宋体" w:eastAsia="宋体"/>
        </w:rPr>
        <w:t>3.  统一使用</w:t>
      </w:r>
      <w:r>
        <w:rPr>
          <w:rFonts w:hint="eastAsia" w:ascii="宋体" w:hAnsi="宋体" w:eastAsia="宋体"/>
        </w:rPr>
        <w:t>国债收益（3%）</w:t>
      </w:r>
      <w:r>
        <w:rPr>
          <w:rFonts w:ascii="宋体" w:hAnsi="宋体" w:eastAsia="宋体"/>
        </w:rPr>
        <w:t>作为市场收益基准，保证结果可比</w:t>
      </w:r>
    </w:p>
    <w:p w14:paraId="05A531A3">
      <w:pPr>
        <w:rPr>
          <w:rFonts w:ascii="宋体" w:hAnsi="宋体" w:eastAsia="宋体"/>
        </w:rPr>
      </w:pPr>
      <w:r>
        <w:rPr>
          <w:rFonts w:ascii="宋体" w:hAnsi="宋体" w:eastAsia="宋体"/>
        </w:rPr>
        <w:t>4.  回测仅针对Alpha最高的单只股票长期持有，不做等权重组合</w:t>
      </w:r>
    </w:p>
    <w:p w14:paraId="2D6DE6A6">
      <w:pPr>
        <w:rPr>
          <w:rFonts w:ascii="宋体" w:hAnsi="宋体" w:eastAsia="宋体"/>
        </w:rPr>
      </w:pPr>
    </w:p>
    <w:p w14:paraId="6C363D20">
      <w:pPr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六、参考核心代码框架（baostock标准实现）</w:t>
      </w:r>
    </w:p>
    <w:p w14:paraId="574B95C5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# ==============================</w:t>
      </w:r>
    </w:p>
    <w:p w14:paraId="492442B9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# CAPM 模型</w:t>
      </w:r>
    </w:p>
    <w:p w14:paraId="0F209F7B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# ==============================</w:t>
      </w:r>
    </w:p>
    <w:p w14:paraId="7192F737">
      <w:pPr>
        <w:rPr>
          <w:rFonts w:ascii="Times New Roman" w:hAnsi="Times New Roman" w:eastAsia="宋体" w:cs="Times New Roman"/>
          <w:szCs w:val="21"/>
        </w:rPr>
      </w:pPr>
    </w:p>
    <w:p w14:paraId="2E22E866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import baostock as bs</w:t>
      </w:r>
    </w:p>
    <w:p w14:paraId="0C3A6ECB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import pandas as pd</w:t>
      </w:r>
    </w:p>
    <w:p w14:paraId="38B91E24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import numpy as np</w:t>
      </w:r>
    </w:p>
    <w:p w14:paraId="30C60DFE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import statsmodels.api as sm</w:t>
      </w:r>
    </w:p>
    <w:p w14:paraId="3913849E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import matplotlib.pyplot as plt</w:t>
      </w:r>
    </w:p>
    <w:p w14:paraId="3CD375D8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from scipy.stats.mstats import winsorize  # 官方异常值处理（业界标准）</w:t>
      </w:r>
    </w:p>
    <w:p w14:paraId="175CAE25">
      <w:pPr>
        <w:rPr>
          <w:rFonts w:ascii="Times New Roman" w:hAnsi="Times New Roman" w:eastAsia="宋体" w:cs="Times New Roman"/>
          <w:szCs w:val="21"/>
        </w:rPr>
      </w:pPr>
    </w:p>
    <w:p w14:paraId="599190A4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# ============= 1. 登录Baostock =============</w:t>
      </w:r>
    </w:p>
    <w:p w14:paraId="4066BD31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bs.login()</w:t>
      </w:r>
    </w:p>
    <w:p w14:paraId="4074E3EE">
      <w:pPr>
        <w:rPr>
          <w:rFonts w:ascii="Times New Roman" w:hAnsi="Times New Roman" w:eastAsia="宋体" w:cs="Times New Roman"/>
          <w:szCs w:val="21"/>
        </w:rPr>
      </w:pPr>
    </w:p>
    <w:p w14:paraId="5F590736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# ============= 2. 数据获取函数 =============</w:t>
      </w:r>
    </w:p>
    <w:p w14:paraId="75769614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def get_data(code, start, end):</w:t>
      </w:r>
    </w:p>
    <w:p w14:paraId="616879F2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rs = bs.query_history_k_data_plus(</w:t>
      </w:r>
    </w:p>
    <w:p w14:paraId="001B1C59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    code, "date,close",</w:t>
      </w:r>
    </w:p>
    <w:p w14:paraId="2B1B373C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    start_date=start, end_date=end,</w:t>
      </w:r>
    </w:p>
    <w:p w14:paraId="4E22B56A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    frequency="d", adjustflag="3"  # 前复权</w:t>
      </w:r>
    </w:p>
    <w:p w14:paraId="249689B6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)</w:t>
      </w:r>
    </w:p>
    <w:p w14:paraId="3E2DDBAA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df = rs.get_data()</w:t>
      </w:r>
    </w:p>
    <w:p w14:paraId="0050ECB7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df["close"] = df["close"].astype(float)</w:t>
      </w:r>
    </w:p>
    <w:p w14:paraId="3B95E7CC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df["return"] = df["close"].pct_change()  # 计算收益率</w:t>
      </w:r>
    </w:p>
    <w:p w14:paraId="00EA433F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df = df.dropna()</w:t>
      </w:r>
    </w:p>
    <w:p w14:paraId="36228A59">
      <w:pPr>
        <w:rPr>
          <w:rFonts w:ascii="Times New Roman" w:hAnsi="Times New Roman" w:eastAsia="宋体" w:cs="Times New Roman"/>
          <w:szCs w:val="21"/>
        </w:rPr>
      </w:pPr>
    </w:p>
    <w:p w14:paraId="66225697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# ======== 异常值处理：官方缩尾（代替3σ，一行搞定）========</w:t>
      </w:r>
    </w:p>
    <w:p w14:paraId="7437C12E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</w:t>
      </w:r>
    </w:p>
    <w:p w14:paraId="19FAFBB2">
      <w:pPr>
        <w:rPr>
          <w:rFonts w:ascii="Times New Roman" w:hAnsi="Times New Roman" w:eastAsia="宋体" w:cs="Times New Roman"/>
          <w:szCs w:val="21"/>
        </w:rPr>
      </w:pPr>
    </w:p>
    <w:p w14:paraId="4C96AA6A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# ============= 3. CAPM 拟合函数 =============</w:t>
      </w:r>
    </w:p>
    <w:p w14:paraId="4B147AAD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def fit_capm(stock_ret, market_ret, Rf_daily):</w:t>
      </w:r>
    </w:p>
    <w:p w14:paraId="014AF6B7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</w:t>
      </w:r>
    </w:p>
    <w:p w14:paraId="33E76994">
      <w:pPr>
        <w:rPr>
          <w:rFonts w:ascii="Times New Roman" w:hAnsi="Times New Roman" w:eastAsia="宋体" w:cs="Times New Roman"/>
          <w:szCs w:val="21"/>
        </w:rPr>
      </w:pPr>
    </w:p>
    <w:p w14:paraId="4FCA14DA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# ============= 4. 参数设置（固定）=============</w:t>
      </w:r>
    </w:p>
    <w:p w14:paraId="168EDC7B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start_train = "2020-01-01"</w:t>
      </w:r>
    </w:p>
    <w:p w14:paraId="01AD1E6C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end_train   = "2022-12-31"</w:t>
      </w:r>
    </w:p>
    <w:p w14:paraId="6974D080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start_test  = "2023-01-01"</w:t>
      </w:r>
    </w:p>
    <w:p w14:paraId="416FB257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end_test    = "2024-12-31"</w:t>
      </w:r>
    </w:p>
    <w:p w14:paraId="75199D67">
      <w:pPr>
        <w:rPr>
          <w:rFonts w:ascii="Times New Roman" w:hAnsi="Times New Roman" w:eastAsia="宋体" w:cs="Times New Roman"/>
          <w:szCs w:val="21"/>
        </w:rPr>
      </w:pPr>
    </w:p>
    <w:p w14:paraId="72B86489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Rf_year = 0.03</w:t>
      </w:r>
    </w:p>
    <w:p w14:paraId="26F5E02B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Rf_daily = (1 + Rf_year) ** (1/365) - 1</w:t>
      </w:r>
    </w:p>
    <w:p w14:paraId="41A5A9F6">
      <w:pPr>
        <w:rPr>
          <w:rFonts w:ascii="Times New Roman" w:hAnsi="Times New Roman" w:eastAsia="宋体" w:cs="Times New Roman"/>
          <w:szCs w:val="21"/>
        </w:rPr>
      </w:pPr>
    </w:p>
    <w:p w14:paraId="0B762221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# 股票列表</w:t>
      </w:r>
    </w:p>
    <w:p w14:paraId="4E0804B5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stocks = {</w:t>
      </w:r>
    </w:p>
    <w:p w14:paraId="24A980DA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"贵州茅台": "600519.SH",</w:t>
      </w:r>
    </w:p>
    <w:p w14:paraId="15C0F0A8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"中国石油": "601857.SH",</w:t>
      </w:r>
    </w:p>
    <w:p w14:paraId="25DD1F1F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"五粮液": "000858.SZ",</w:t>
      </w:r>
    </w:p>
    <w:p w14:paraId="2EFFA3AE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"泸州老窖": "000568.SZ",</w:t>
      </w:r>
    </w:p>
    <w:p w14:paraId="203725A0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"招商银行": "600036.SH",</w:t>
      </w:r>
    </w:p>
    <w:p w14:paraId="7EAB35AD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"美的集团": "000333.SZ"</w:t>
      </w:r>
    </w:p>
    <w:p w14:paraId="093723CA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}</w:t>
      </w:r>
    </w:p>
    <w:p w14:paraId="2364AC44">
      <w:pPr>
        <w:rPr>
          <w:rFonts w:ascii="Times New Roman" w:hAnsi="Times New Roman" w:eastAsia="宋体" w:cs="Times New Roman"/>
          <w:szCs w:val="21"/>
        </w:rPr>
      </w:pPr>
    </w:p>
    <w:p w14:paraId="683162CD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# ============= 5. 获取市场数据（沪深300）=============</w:t>
      </w:r>
    </w:p>
    <w:p w14:paraId="49A831DB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market = get_data("000300.SH", start_train, end_train)</w:t>
      </w:r>
    </w:p>
    <w:p w14:paraId="548D812A">
      <w:pPr>
        <w:rPr>
          <w:rFonts w:ascii="Times New Roman" w:hAnsi="Times New Roman" w:eastAsia="宋体" w:cs="Times New Roman"/>
          <w:szCs w:val="21"/>
        </w:rPr>
      </w:pPr>
    </w:p>
    <w:p w14:paraId="53A10398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# ============= 6. 循环计算所有股票的 α, β =============</w:t>
      </w:r>
    </w:p>
    <w:p w14:paraId="4765E8A3">
      <w:pPr>
        <w:rPr>
          <w:rFonts w:ascii="Times New Roman" w:hAnsi="Times New Roman" w:eastAsia="宋体" w:cs="Times New Roman"/>
          <w:szCs w:val="21"/>
        </w:rPr>
      </w:pPr>
    </w:p>
    <w:p w14:paraId="2B9A998C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# ============= 7. 回测：持有 Alpha 最高股票 =============</w:t>
      </w:r>
    </w:p>
    <w:p w14:paraId="41C782CA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# 获取回测数据</w:t>
      </w:r>
    </w:p>
    <w:p w14:paraId="7155CCC9">
      <w:pPr>
        <w:rPr>
          <w:rFonts w:ascii="Times New Roman" w:hAnsi="Times New Roman" w:eastAsia="宋体" w:cs="Times New Roman"/>
          <w:szCs w:val="21"/>
        </w:rPr>
      </w:pPr>
    </w:p>
    <w:p w14:paraId="039E37EE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# 计算累计收益</w:t>
      </w:r>
    </w:p>
    <w:p w14:paraId="5FAC8CAE">
      <w:pPr>
        <w:rPr>
          <w:rFonts w:ascii="Times New Roman" w:hAnsi="Times New Roman" w:eastAsia="宋体" w:cs="Times New Roman"/>
          <w:szCs w:val="21"/>
        </w:rPr>
      </w:pPr>
    </w:p>
    <w:p w14:paraId="799DE332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# 画图</w:t>
      </w:r>
    </w:p>
    <w:p w14:paraId="790C95FF">
      <w:pPr>
        <w:rPr>
          <w:rFonts w:ascii="Times New Roman" w:hAnsi="Times New Roman" w:eastAsia="宋体" w:cs="Times New Roman"/>
          <w:szCs w:val="21"/>
        </w:rPr>
      </w:pPr>
      <w:bookmarkStart w:id="0" w:name="_GoBack"/>
      <w:bookmarkEnd w:id="0"/>
    </w:p>
    <w:p w14:paraId="17E13718">
      <w:pPr>
        <w:rPr>
          <w:rFonts w:ascii="Times New Roman" w:hAnsi="Times New Roman" w:eastAsia="宋体" w:cs="Times New Roman"/>
          <w:szCs w:val="21"/>
        </w:rPr>
      </w:pPr>
    </w:p>
    <w:p w14:paraId="68E82425">
      <w:pPr>
        <w:rPr>
          <w:rFonts w:ascii="Times New Roman" w:hAnsi="Times New Roman" w:eastAsia="宋体" w:cs="Times New Roman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B49"/>
    <w:rsid w:val="00097C2C"/>
    <w:rsid w:val="001051DC"/>
    <w:rsid w:val="00203B49"/>
    <w:rsid w:val="0028466E"/>
    <w:rsid w:val="00310F94"/>
    <w:rsid w:val="004F2110"/>
    <w:rsid w:val="00714480"/>
    <w:rsid w:val="009F0EF8"/>
    <w:rsid w:val="00C12AB6"/>
    <w:rsid w:val="00CE2D5C"/>
    <w:rsid w:val="00D16DDD"/>
    <w:rsid w:val="00D80663"/>
    <w:rsid w:val="00DD17CD"/>
    <w:rsid w:val="3744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1526</Words>
  <Characters>3693</Characters>
  <Lines>30</Lines>
  <Paragraphs>8</Paragraphs>
  <TotalTime>39</TotalTime>
  <ScaleCrop>false</ScaleCrop>
  <LinksUpToDate>false</LinksUpToDate>
  <CharactersWithSpaces>4131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2026-04-14T10:06:00Z</dcterms:created>
  <dc:creator>braid wang</dc:creator>
  <cp:lastModifiedBy>西岭云</cp:lastModifiedBy>
  <dcterms:modified xsi:type="dcterms:W3CDTF">2026-05-19T06:46:10Z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eyJoZGlkIjoiNWYwYjQ2NWVhN2MwZmI3NmQzNTU4MzRmZjU1OGFhZjAiLCJ1c2VySWQiOiIzMDI3MzY4MjkifQ==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D0B9B58265E448CF85559CF7CD71D507_12</vt:lpwstr>
  </property>
</Properties>
</file>