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Modèle d’analyse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programme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caisseAuto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 a 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de réponse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Hypothèses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 doit être réel et non vide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afficher la monnaie de N en billets de 100, de 50, de 10, de 5 euros, ainsi qu’en pièces de 2 et 1 euros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b100,50,10,5,</w:t>
              <w:br w:type="textWrapping"/>
              <w:br w:type="textWrapping"/>
              <w:t xml:space="preserve">p2,1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  <w:br w:type="textWrapping"/>
              <w:br w:type="textWrapping"/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 de billet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pièces de x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caafb1bxetr" w:id="4"/>
      <w:bookmarkEnd w:id="4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