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color w:val="1A3A5C"/>
          <w:sz w:val="40"/>
        </w:rPr>
        <w:t>Deliberate Risk Assessment</w:t>
      </w:r>
    </w:p>
    <w:p>
      <w:pPr>
        <w:spacing w:after="240"/>
        <w:jc w:val="center"/>
      </w:pPr>
      <w:r>
        <w:rPr>
          <w:rFonts w:ascii="Arial" w:hAnsi="Arial"/>
          <w:b w:val="0"/>
          <w:color w:val="555555"/>
          <w:sz w:val="22"/>
        </w:rPr>
        <w:t>DD Form 2977 Format — 3rd Regiment, TNSG — TNMAN 26 (Mt. Carmel Site Defense)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1952"/>
      </w:tblGrid>
      <w:tr>
        <w:tc>
          <w:tcPr>
            <w:tcW w:type="dxa" w:w="31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0F0"/>
          </w:tcPr>
          <w:p>
            <w:r/>
            <w:r>
              <w:rPr>
                <w:rFonts w:ascii="Arial" w:hAnsi="Arial"/>
                <w:b/>
                <w:sz w:val="20"/>
              </w:rPr>
              <w:t>Organization:</w:t>
            </w:r>
          </w:p>
        </w:tc>
        <w:tc>
          <w:tcPr>
            <w:tcW w:type="dxa" w:w="119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Arial" w:hAnsi="Arial"/>
                <w:sz w:val="20"/>
              </w:rPr>
              <w:t>3rd Regiment (Alvin C. York), Tennessee State Guard</w:t>
            </w:r>
          </w:p>
        </w:tc>
      </w:tr>
      <w:tr>
        <w:tc>
          <w:tcPr>
            <w:tcW w:type="dxa" w:w="31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0F0"/>
          </w:tcPr>
          <w:p>
            <w:r/>
            <w:r>
              <w:rPr>
                <w:rFonts w:ascii="Arial" w:hAnsi="Arial"/>
                <w:b/>
                <w:sz w:val="20"/>
              </w:rPr>
              <w:t>Mission / Task:</w:t>
            </w:r>
          </w:p>
        </w:tc>
        <w:tc>
          <w:tcPr>
            <w:tcW w:type="dxa" w:w="119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Arial" w:hAnsi="Arial"/>
                <w:sz w:val="20"/>
              </w:rPr>
              <w:t>SECFOR operations, sUAS reconnaissance, Incident Command Post (ICP) support, and communications support in support of TNMAN-26 "Simulated Kinetic Attack on Holston Army Ammunition Plant" — operation named Mt. Carmel Site Defense.</w:t>
            </w:r>
          </w:p>
        </w:tc>
      </w:tr>
      <w:tr>
        <w:tc>
          <w:tcPr>
            <w:tcW w:type="dxa" w:w="31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0F0"/>
          </w:tcPr>
          <w:p>
            <w:r/>
            <w:r>
              <w:rPr>
                <w:rFonts w:ascii="Arial" w:hAnsi="Arial"/>
                <w:b/>
                <w:sz w:val="20"/>
              </w:rPr>
              <w:t>Activity Date(s):</w:t>
            </w:r>
          </w:p>
        </w:tc>
        <w:tc>
          <w:tcPr>
            <w:tcW w:type="dxa" w:w="119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Arial" w:hAnsi="Arial"/>
                <w:sz w:val="20"/>
              </w:rPr>
              <w:t>13-15 MAY 2026 (3 RGT Phase II 12-14 MAY, Phase III initial actions NLT 15 MAY 2131R)</w:t>
            </w:r>
          </w:p>
        </w:tc>
      </w:tr>
      <w:tr>
        <w:tc>
          <w:tcPr>
            <w:tcW w:type="dxa" w:w="31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0F0"/>
          </w:tcPr>
          <w:p>
            <w:r/>
            <w:r>
              <w:rPr>
                <w:rFonts w:ascii="Arial" w:hAnsi="Arial"/>
                <w:b/>
                <w:sz w:val="20"/>
              </w:rPr>
              <w:t>Activity Location(s):</w:t>
            </w:r>
          </w:p>
        </w:tc>
        <w:tc>
          <w:tcPr>
            <w:tcW w:type="dxa" w:w="119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Arial" w:hAnsi="Arial"/>
                <w:sz w:val="20"/>
              </w:rPr>
              <w:t>ICP/RSA: Armed Forces Reserve Center, 399 A US-11W Scenic, Mt Carmel, TN 37645. SECFOR AO: HAAP perimeter (outside fence), 4509 W Stone Dr, Kingsport, TN 37660</w:t>
            </w:r>
          </w:p>
        </w:tc>
      </w:tr>
      <w:tr>
        <w:tc>
          <w:tcPr>
            <w:tcW w:type="dxa" w:w="31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0F0"/>
          </w:tcPr>
          <w:p>
            <w:r/>
            <w:r>
              <w:rPr>
                <w:rFonts w:ascii="Arial" w:hAnsi="Arial"/>
                <w:b/>
                <w:sz w:val="20"/>
              </w:rPr>
              <w:t>Reference:</w:t>
            </w:r>
          </w:p>
        </w:tc>
        <w:tc>
          <w:tcPr>
            <w:tcW w:type="dxa" w:w="119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Arial" w:hAnsi="Arial"/>
                <w:sz w:val="20"/>
              </w:rPr>
              <w:t>DIV OPORD 26-05 (161200RAPRIL2026) | RGT OPORD 26-05-01 (141600RAPR26) | FRAGO 26-05-01.1 (212130RAPR26) | JFHQ-TN FRAGORD 3 | CG's Intent</w:t>
            </w:r>
          </w:p>
        </w:tc>
      </w:tr>
      <w:tr>
        <w:tc>
          <w:tcPr>
            <w:tcW w:type="dxa" w:w="31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0F0"/>
          </w:tcPr>
          <w:p>
            <w:r/>
            <w:r>
              <w:rPr>
                <w:rFonts w:ascii="Arial" w:hAnsi="Arial"/>
                <w:b/>
                <w:sz w:val="20"/>
              </w:rPr>
              <w:t>Prepared By:</w:t>
            </w:r>
          </w:p>
        </w:tc>
        <w:tc>
          <w:tcPr>
            <w:tcW w:type="dxa" w:w="119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Arial" w:hAnsi="Arial"/>
                <w:sz w:val="20"/>
              </w:rPr>
              <w:t>1LT Aaron L. Overton III, ASST S3, 3rd Regiment, TNSG</w:t>
            </w:r>
          </w:p>
        </w:tc>
      </w:tr>
      <w:tr>
        <w:tc>
          <w:tcPr>
            <w:tcW w:type="dxa" w:w="31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0F0"/>
          </w:tcPr>
          <w:p>
            <w:r/>
            <w:r>
              <w:rPr>
                <w:rFonts w:ascii="Arial" w:hAnsi="Arial"/>
                <w:b/>
                <w:sz w:val="20"/>
              </w:rPr>
              <w:t>Date Prepared:</w:t>
            </w:r>
          </w:p>
        </w:tc>
        <w:tc>
          <w:tcPr>
            <w:tcW w:type="dxa" w:w="119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Arial" w:hAnsi="Arial"/>
                <w:sz w:val="20"/>
              </w:rPr>
              <w:t>25 April 2026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20"/>
        </w:rPr>
        <w:t xml:space="preserve">RISK LEVELS:  </w:t>
      </w:r>
      <w:r>
        <w:rPr>
          <w:rFonts w:ascii="Arial" w:hAnsi="Arial"/>
          <w:b/>
          <w:color w:val="006600"/>
          <w:sz w:val="20"/>
        </w:rPr>
        <w:t>LOW</w:t>
      </w:r>
      <w:r>
        <w:rPr>
          <w:rFonts w:ascii="Arial" w:hAnsi="Arial"/>
          <w:sz w:val="20"/>
        </w:rPr>
        <w:t xml:space="preserve"> = acceptable  |  </w:t>
      </w:r>
      <w:r>
        <w:rPr>
          <w:rFonts w:ascii="Arial" w:hAnsi="Arial"/>
          <w:b/>
          <w:color w:val="996600"/>
          <w:sz w:val="20"/>
        </w:rPr>
        <w:t>MODERATE</w:t>
      </w:r>
      <w:r>
        <w:rPr>
          <w:rFonts w:ascii="Arial" w:hAnsi="Arial"/>
          <w:sz w:val="20"/>
        </w:rPr>
        <w:t xml:space="preserve"> = requires mitigation  |  </w:t>
      </w:r>
      <w:r>
        <w:rPr>
          <w:rFonts w:ascii="Arial" w:hAnsi="Arial"/>
          <w:b/>
          <w:color w:val="CC0000"/>
          <w:sz w:val="20"/>
        </w:rPr>
        <w:t>HIGH</w:t>
      </w:r>
      <w:r>
        <w:rPr>
          <w:rFonts w:ascii="Arial" w:hAnsi="Arial"/>
          <w:sz w:val="20"/>
        </w:rPr>
        <w:t xml:space="preserve"> = requires senior leader approval  |  </w:t>
      </w:r>
      <w:r>
        <w:rPr>
          <w:rFonts w:ascii="Arial" w:hAnsi="Arial"/>
          <w:b/>
          <w:color w:val="990000"/>
          <w:sz w:val="20"/>
        </w:rPr>
        <w:t>EXTREMELY HIGH</w:t>
      </w:r>
      <w:r>
        <w:rPr>
          <w:rFonts w:ascii="Arial" w:hAnsi="Arial"/>
          <w:sz w:val="20"/>
        </w:rPr>
        <w:t xml:space="preserve"> = requires GO/FO approval</w:t>
      </w:r>
    </w:p>
    <w:p>
      <w:pPr>
        <w:spacing w:after="80"/>
      </w:pPr>
      <w:r>
        <w:rPr>
          <w:rFonts w:ascii="Arial" w:hAnsi="Arial"/>
          <w:b/>
          <w:color w:val="1A3A5C"/>
          <w:sz w:val="24"/>
        </w:rPr>
        <w:t>Block 3 — Hazards and Controls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576"/>
            <w:shd w:val="clear" w:color="auto" w:fill="2E405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744"/>
            <w:shd w:val="clear" w:color="auto" w:fill="2E405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Hazard</w:t>
            </w:r>
          </w:p>
        </w:tc>
        <w:tc>
          <w:tcPr>
            <w:tcW w:type="dxa" w:w="1296"/>
            <w:shd w:val="clear" w:color="auto" w:fill="2E405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Initial</w:t>
            </w:r>
          </w:p>
        </w:tc>
        <w:tc>
          <w:tcPr>
            <w:tcW w:type="dxa" w:w="5472"/>
            <w:shd w:val="clear" w:color="auto" w:fill="2E405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Controls / Mitigations</w:t>
            </w:r>
          </w:p>
        </w:tc>
        <w:tc>
          <w:tcPr>
            <w:tcW w:type="dxa" w:w="3456"/>
            <w:shd w:val="clear" w:color="auto" w:fill="2E405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How to Implement / Who</w:t>
            </w:r>
          </w:p>
        </w:tc>
        <w:tc>
          <w:tcPr>
            <w:tcW w:type="dxa" w:w="1872"/>
            <w:shd w:val="clear" w:color="auto" w:fill="2E405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Who</w:t>
            </w:r>
          </w:p>
        </w:tc>
        <w:tc>
          <w:tcPr>
            <w:tcW w:type="dxa" w:w="1296"/>
            <w:shd w:val="clear" w:color="auto" w:fill="2E405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Residual</w:t>
            </w:r>
          </w:p>
        </w:tc>
      </w:tr>
      <w:tr>
        <w:tc>
          <w:tcPr>
            <w:tcW w:type="dxa" w:w="57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7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Severe weather / flooding — scenario + real-world.</w:t>
              <w:br/>
              <w:t>Slip/fall, lightning, vehicle accident, exposure; real weather may compound the scenario.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E6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C0000"/>
                <w:sz w:val="18"/>
              </w:rPr>
              <w:t>HIGH</w:t>
            </w:r>
          </w:p>
        </w:tc>
        <w:tc>
          <w:tcPr>
            <w:tcW w:type="dxa" w:w="54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1. NWS monitoring daily; suspend outdoor tasks for lightning within 10 mi</w:t>
              <w:br/>
              <w:t>2. Rain gear issued; Safety Officer has stop-work authority</w:t>
              <w:br/>
              <w:t>3. Shift to ICP-interior tasks if weather red</w:t>
              <w:br/>
              <w:t>4. 3 RGT authorized to call off participation entirely for forecast severe weather ("don't go" is a valid control for a training exercise)</w:t>
            </w:r>
          </w:p>
        </w:tc>
        <w:tc>
          <w:tcPr>
            <w:tcW w:type="dxa" w:w="345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S3 monitors weather with Safety Officer. CDR holds call-off authority. BN CDRs brief stop-work procedures.</w:t>
            </w:r>
          </w:p>
        </w:tc>
        <w:tc>
          <w:tcPr>
            <w:tcW w:type="dxa" w:w="18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S3 / Safety Officer / CDR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6FF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6600"/>
                <w:sz w:val="18"/>
              </w:rPr>
              <w:t>LOW</w:t>
            </w:r>
          </w:p>
        </w:tc>
      </w:tr>
      <w:tr>
        <w:tc>
          <w:tcPr>
            <w:tcW w:type="dxa" w:w="57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7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HAAP perimeter-adjacency hazards — industrial area adjacency, perimeter vehicle traffic, low-probability hazmat-release exposure.</w:t>
              <w:br/>
              <w:t>Interior explosive / industrial hazards are EXCLUDED by the no-entry constraint.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D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96600"/>
                <w:sz w:val="18"/>
              </w:rPr>
              <w:t>MODERATE</w:t>
            </w:r>
          </w:p>
        </w:tc>
        <w:tc>
          <w:tcPr>
            <w:tcW w:type="dxa" w:w="54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1. Perimeter-only constraint — no TNSG enters HAAP premises</w:t>
              <w:br/>
              <w:t>2. HAAP POC (Mr. Tony Armstrong) perimeter orientation pre-mission</w:t>
              <w:br/>
              <w:t>3. Pre-briefed perimeter route and emergency pull-back points</w:t>
              <w:br/>
              <w:t>4. HAAP safety officer liaison per work area</w:t>
              <w:br/>
              <w:t>5. HAAP real-event notification protocol</w:t>
            </w:r>
          </w:p>
        </w:tc>
        <w:tc>
          <w:tcPr>
            <w:tcW w:type="dxa" w:w="345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S3 coordinates orientation with HAAP POC. HAAP LNO at ICP monitors for real-event notifications.</w:t>
            </w:r>
          </w:p>
        </w:tc>
        <w:tc>
          <w:tcPr>
            <w:tcW w:type="dxa" w:w="18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S3 / HAAP LNO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6FF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6600"/>
                <w:sz w:val="18"/>
              </w:rPr>
              <w:t>LOW</w:t>
            </w:r>
          </w:p>
        </w:tc>
      </w:tr>
      <w:tr>
        <w:tc>
          <w:tcPr>
            <w:tcW w:type="dxa" w:w="57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7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Convoy operations / fatigue — home station to RSA at Mt Carmel and HAAP.</w:t>
              <w:br/>
              <w:t>Multi-vehicle convoys; front-end and back-end daily driving.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E6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C0000"/>
                <w:sz w:val="18"/>
              </w:rPr>
              <w:t>HIGH</w:t>
            </w:r>
          </w:p>
        </w:tc>
        <w:tc>
          <w:tcPr>
            <w:tcW w:type="dxa" w:w="54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1. Dawn-to-dusk + RON-at-home per CG policy (narrow carve-out at Mt Carmel for 1 RGT OPFOR / TNARNG per JFHQ-TN FRAGORD 3)</w:t>
              <w:br/>
              <w:t>2. Daylight-only driving; no vehicles enter HAAP premises</w:t>
              <w:br/>
              <w:t>3. Convoy plans briefed to CDR NLT 30 APR; pre-trip inspections</w:t>
              <w:br/>
              <w:t>4. 2-driver rule for &gt;4 hr one-way legs</w:t>
              <w:br/>
              <w:t>5. Max 12 hr combined duty-plus-drive per day</w:t>
              <w:br/>
              <w:t>6. Soldiers with home station &gt;2 hr one-way from ICP authorized to self-fund Mt Carmel-area hotel</w:t>
            </w:r>
          </w:p>
        </w:tc>
        <w:tc>
          <w:tcPr>
            <w:tcW w:type="dxa" w:w="345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BN CDRs brief convoy plans to RGT CDR NLT 30 APR. HHC tracks RON locations.</w:t>
            </w:r>
          </w:p>
        </w:tc>
        <w:tc>
          <w:tcPr>
            <w:tcW w:type="dxa" w:w="18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BN CDRs / HHC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6FF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6600"/>
                <w:sz w:val="18"/>
              </w:rPr>
              <w:t>LOW</w:t>
            </w:r>
          </w:p>
        </w:tc>
      </w:tr>
      <w:tr>
        <w:tc>
          <w:tcPr>
            <w:tcW w:type="dxa" w:w="57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7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SECFOR perimeter outdoor duty — area security, TCPs, dismounted patrols in variable weather.</w:t>
              <w:br/>
              <w:t>Heat / cold, hydration, exhaustion.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D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96600"/>
                <w:sz w:val="18"/>
              </w:rPr>
              <w:t>MODERATE</w:t>
            </w:r>
          </w:p>
        </w:tc>
        <w:tc>
          <w:tcPr>
            <w:tcW w:type="dxa" w:w="54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1. TNSG is unarmed by default; no Soldiers carry weapons (removes weapon-handling / use-of-force risk)</w:t>
              <w:br/>
              <w:t>2. Physical patrol footprint limited to outside perimeter fence, parallel to southernmost side of US 11W only (per HAAP POC 20 APR); interior N/S/W patrols and screens are notional only</w:t>
              <w:br/>
              <w:t>3. Battle-buddy system; 2-on / 4-off rotation target</w:t>
              <w:br/>
              <w:t>4. Hydration logged; dawn-to-dusk cap</w:t>
              <w:br/>
              <w:t>5. ROE briefed as presence / verbal / call LE (see JAG Pre-Brief)</w:t>
            </w:r>
          </w:p>
        </w:tc>
        <w:tc>
          <w:tcPr>
            <w:tcW w:type="dxa" w:w="345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 BN CDR executes as SECFOR TF CDR. NCOICs enforce battle-buddy and hydration logs. HAAP LNO ensures physical footprint compliance.</w:t>
            </w:r>
          </w:p>
        </w:tc>
        <w:tc>
          <w:tcPr>
            <w:tcW w:type="dxa" w:w="18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 BN CDR / NCOIC / HAAP LNO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6FF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6600"/>
                <w:sz w:val="18"/>
              </w:rPr>
              <w:t>LOW</w:t>
            </w:r>
          </w:p>
        </w:tc>
      </w:tr>
      <w:tr>
        <w:tc>
          <w:tcPr>
            <w:tcW w:type="dxa" w:w="57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7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sUAS operations — airspace conflicts, equipment failure, battery fire, FAA / TDOT / TCA compliance.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D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96600"/>
                <w:sz w:val="18"/>
              </w:rPr>
              <w:t>MODERATE</w:t>
            </w:r>
          </w:p>
        </w:tc>
        <w:tc>
          <w:tcPr>
            <w:tcW w:type="dxa" w:w="54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1. FAA Part 107 certified pilot required (3 certified: CPT Widner, 1LT Riley, LT Hoskins)</w:t>
              <w:br/>
              <w:t>2. Airspace check with Tri-Cities TRACON if within Class D/E</w:t>
              <w:br/>
              <w:t>3. LiPo battery storage per SOP; emergency landing zones pre-identified</w:t>
              <w:br/>
              <w:t>4. TCA 39-13-609 compliance verified with JAG</w:t>
              <w:br/>
              <w:t>5. NO-GO Line at HAAP perimeter is absolute — no sUAS crosses it (per HAAP POC)</w:t>
              <w:br/>
              <w:t>6. sUAS mission is drone-detection-test only; no imagery retained inside fence</w:t>
            </w:r>
          </w:p>
        </w:tc>
        <w:tc>
          <w:tcPr>
            <w:tcW w:type="dxa" w:w="345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 BN provides Air Ops Branch and Part 107 pilots. JAG reviews UAS policy. S6 coordinates TRACON comms.</w:t>
            </w:r>
          </w:p>
        </w:tc>
        <w:tc>
          <w:tcPr>
            <w:tcW w:type="dxa" w:w="18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Air Ops Branch Chief / 4 BN UAS / JAG / S6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6FF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6600"/>
                <w:sz w:val="18"/>
              </w:rPr>
              <w:t>LOW</w:t>
            </w:r>
          </w:p>
        </w:tc>
      </w:tr>
      <w:tr>
        <w:tc>
          <w:tcPr>
            <w:tcW w:type="dxa" w:w="57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7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Communications blackout inject (14-15 MAY) — scenario degrades comms; real-world safety calls must still get through.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D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96600"/>
                <w:sz w:val="18"/>
              </w:rPr>
              <w:t>MODERATE</w:t>
            </w:r>
          </w:p>
        </w:tc>
        <w:tc>
          <w:tcPr>
            <w:tcW w:type="dxa" w:w="54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1. PACE plan published (SOI NLT 30 APR)</w:t>
              <w:br/>
              <w:t>2. Safety exception: medical / 911 traffic never suppressed</w:t>
              <w:br/>
              <w:t>3. BN rally points and pre-planned ATAK positions; runners identified</w:t>
              <w:br/>
              <w:t>4. HF / VHF backup tested pre-mission</w:t>
              <w:br/>
              <w:t>5. All Soldiers carry personal mobile devices as independent real-world fallback (blackout is a training inject, not an actual cellular outage)</w:t>
            </w:r>
          </w:p>
        </w:tc>
        <w:tc>
          <w:tcPr>
            <w:tcW w:type="dxa" w:w="345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S6 publishes PACE. BN S6s ensure radio checks pre-mission. Safety Officer tracks safety-traffic exception.</w:t>
            </w:r>
          </w:p>
        </w:tc>
        <w:tc>
          <w:tcPr>
            <w:tcW w:type="dxa" w:w="18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S6 / BN S6s / Safety Officer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6FF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6600"/>
                <w:sz w:val="18"/>
              </w:rPr>
              <w:t>LOW</w:t>
            </w:r>
          </w:p>
        </w:tc>
      </w:tr>
      <w:tr>
        <w:tc>
          <w:tcPr>
            <w:tcW w:type="dxa" w:w="57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7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Civilian interaction / ROE ambiguity — SECFOR near public road access; potential civilian contact at TCPs and perimeter.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E6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C0000"/>
                <w:sz w:val="18"/>
              </w:rPr>
              <w:t>HIGH</w:t>
            </w:r>
          </w:p>
        </w:tc>
        <w:tc>
          <w:tcPr>
            <w:tcW w:type="dxa" w:w="54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1. ROE written against TN state law (SAD authority), not Army doctrine</w:t>
              <w:br/>
              <w:t>2. JAG consultation with COL Williams (PMO) per DIV OPORD §3.i.6.(h)</w:t>
              <w:br/>
              <w:t>3. Unarmed / presence-only posture; escalation to site OIC and local LE</w:t>
              <w:br/>
              <w:t>4. TNSG personnel briefed on ROE; written card issued</w:t>
            </w:r>
          </w:p>
        </w:tc>
        <w:tc>
          <w:tcPr>
            <w:tcW w:type="dxa" w:w="345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S3 routes ROE to JAG for review. RGT CO accepts final ROE. BN CDRs brief to Soldiers before execution.</w:t>
            </w:r>
          </w:p>
        </w:tc>
        <w:tc>
          <w:tcPr>
            <w:tcW w:type="dxa" w:w="18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S3 / JAG / RGT CO / BN CDRs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D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96600"/>
                <w:sz w:val="18"/>
              </w:rPr>
              <w:t>MODERATE</w:t>
            </w:r>
          </w:p>
        </w:tc>
      </w:tr>
      <w:tr>
        <w:tc>
          <w:tcPr>
            <w:tcW w:type="dxa" w:w="57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7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Title 10 / SAD command authority seam — HD-framed exercise with TNNG Title 10 lead; TNSG is SAD only.</w:t>
              <w:br/>
              <w:t>Risk of TNSG personnel practicing de facto subordination to federal command.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E6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C0000"/>
                <w:sz w:val="18"/>
              </w:rPr>
              <w:t>HIGH</w:t>
            </w:r>
          </w:p>
        </w:tc>
        <w:tc>
          <w:tcPr>
            <w:tcW w:type="dxa" w:w="54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1. JAG consultation required before execution (see JAG Pre-Brief)</w:t>
              <w:br/>
              <w:t>2. Command relationships documented and briefed</w:t>
              <w:br/>
              <w:t>3. TNSG personnel briefed on training-fiction nature of federal C2 links</w:t>
              <w:br/>
              <w:t>4. TNSG LNO at JOC per CG enabling task</w:t>
            </w:r>
          </w:p>
        </w:tc>
        <w:tc>
          <w:tcPr>
            <w:tcW w:type="dxa" w:w="345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S3 routes documentation to JAG. RGT CO briefs command and participating Soldiers. LNO at JOC clarifies authority at hand-off points.</w:t>
            </w:r>
          </w:p>
        </w:tc>
        <w:tc>
          <w:tcPr>
            <w:tcW w:type="dxa" w:w="18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S3 / JAG / RGT CO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D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96600"/>
                <w:sz w:val="18"/>
              </w:rPr>
              <w:t>MODERATE</w:t>
            </w:r>
          </w:p>
        </w:tc>
      </w:tr>
      <w:tr>
        <w:tc>
          <w:tcPr>
            <w:tcW w:type="dxa" w:w="57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7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TCA 39-13-609 drone privacy constraints — TN law restricts certain aerial surveillance by government entities.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D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96600"/>
                <w:sz w:val="18"/>
              </w:rPr>
              <w:t>MODERATE</w:t>
            </w:r>
          </w:p>
        </w:tc>
        <w:tc>
          <w:tcPr>
            <w:tcW w:type="dxa" w:w="54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1. JAG review before any UAS mission plan is finalized</w:t>
              <w:br/>
              <w:t>2. Avoid collection over private property without TDOT / landowner clearance</w:t>
              <w:br/>
              <w:t>3. Retention / dissemination rules documented; no federal sharing without written authorization</w:t>
              <w:br/>
              <w:t>4. sUAS tests HAAP drone detection system only; no imagery retained</w:t>
            </w:r>
          </w:p>
        </w:tc>
        <w:tc>
          <w:tcPr>
            <w:tcW w:type="dxa" w:w="345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JAG reviews UAS plan. 4 BN UAS pilot executes IAW reviewed plan. S6 / S3 verify no retention / sharing outside plan.</w:t>
            </w:r>
          </w:p>
        </w:tc>
        <w:tc>
          <w:tcPr>
            <w:tcW w:type="dxa" w:w="18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JAG / 4 BN UAS / S3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6FF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6600"/>
                <w:sz w:val="18"/>
              </w:rPr>
              <w:t>LOW</w:t>
            </w:r>
          </w:p>
        </w:tc>
      </w:tr>
      <w:tr>
        <w:tc>
          <w:tcPr>
            <w:tcW w:type="dxa" w:w="57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74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Medical readiness — MRC-2 (role-limited), MRC-3 (single-day deviation), MRC-4 (unverified) personnel.</w:t>
              <w:br/>
              <w:t>10 MRC-2, 4 MRC-3 (deviation required), 7 MRC-4 (verification required).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E6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C0000"/>
                <w:sz w:val="18"/>
              </w:rPr>
              <w:t>HIGH</w:t>
            </w:r>
          </w:p>
        </w:tc>
        <w:tc>
          <w:tcPr>
            <w:tcW w:type="dxa" w:w="54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1. MRC-2: ICP-interior / staff roles only; no extended SECFOR field duty; battle buddy; medical sick-call at ICP within 30 min</w:t>
              <w:br/>
              <w:t>2. MRC-3 binary control: either deploy with BG Cox-approved deviation (single-day 14 MAY only, ICP-interior, MRC-1 battle buddy, medical check-ins) OR do not deploy</w:t>
              <w:br/>
              <w:t>3. MRC-4 binary control: verify status NLT 30 APR, or treat as MRC-3 and route deviation, OR do not deploy</w:t>
              <w:br/>
              <w:t>4. PHA currency verified before orders issue (61st MED BN will NOT provide PHAs on-site per DIV OPORD §4.c.(4))</w:t>
              <w:br/>
              <w:t>5. Dawn-to-dusk / RON-at-home applies to all participants</w:t>
            </w:r>
          </w:p>
        </w:tc>
        <w:tc>
          <w:tcPr>
            <w:tcW w:type="dxa" w:w="345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S1 verifies MRC and PHA status. BG Cox concurs on MRC-3 deviations. RGT CO approves MRC-2 roles. BN CDRs enforce battle-buddy and role limits.</w:t>
            </w:r>
          </w:p>
        </w:tc>
        <w:tc>
          <w:tcPr>
            <w:tcW w:type="dxa" w:w="187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S1 / BG Cox / RGT CO / BN CDRs</w:t>
            </w:r>
          </w:p>
        </w:tc>
        <w:tc>
          <w:tcPr>
            <w:tcW w:type="dxa" w:w="12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6FFE6"/>
            <w:vAlign w:val="top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6600"/>
                <w:sz w:val="18"/>
              </w:rPr>
              <w:t>LOW</w:t>
            </w:r>
          </w:p>
        </w:tc>
      </w:tr>
    </w:tbl>
    <w:p/>
    <w:p>
      <w:r>
        <w:rPr>
          <w:rFonts w:ascii="Arial" w:hAnsi="Arial"/>
          <w:b/>
          <w:sz w:val="26"/>
        </w:rPr>
        <w:t xml:space="preserve">OVERALL RESIDUAL RISK LEVEL:  </w:t>
      </w:r>
      <w:r>
        <w:rPr>
          <w:rFonts w:ascii="Arial" w:hAnsi="Arial"/>
          <w:b/>
          <w:color w:val="996600"/>
          <w:sz w:val="26"/>
        </w:rPr>
        <w:t>MODERATE</w:t>
      </w:r>
    </w:p>
    <w:p>
      <w:pPr>
        <w:spacing w:after="120"/>
      </w:pPr>
      <w:r>
        <w:rPr>
          <w:rFonts w:ascii="Arial" w:hAnsi="Arial"/>
          <w:b w:val="0"/>
          <w:sz w:val="20"/>
        </w:rPr>
        <w:t>Residual rating is driven by Hazard 7 (ROE) and Hazard 8 (Title 10 / SAD seam), both pending JAG consultation with COL Williams (PMO). All other operational and medical lines are at LOW residual with controls applied. Approval authority per AR 385-10: mission commander (COL Roark, RGT CO). Medical-readiness deviation concurrence required separately from BG Cox, DCG-O / 61st MED BN CO.</w:t>
      </w:r>
    </w:p>
    <w:p/>
    <w:p>
      <w:pPr>
        <w:spacing w:after="80"/>
      </w:pPr>
      <w:r>
        <w:rPr>
          <w:rFonts w:ascii="Arial" w:hAnsi="Arial"/>
          <w:b/>
          <w:color w:val="1A3A5C"/>
          <w:sz w:val="24"/>
        </w:rPr>
        <w:t>NOTES</w:t>
      </w:r>
    </w:p>
    <w:p>
      <w:pPr>
        <w:spacing w:after="120"/>
        <w:ind w:left="432"/>
      </w:pPr>
      <w:r>
        <w:rPr>
          <w:rFonts w:ascii="Arial" w:hAnsi="Arial"/>
          <w:b w:val="0"/>
          <w:sz w:val="20"/>
        </w:rPr>
        <w:t>1.  TNSG is unarmed by default; no Soldiers carry weapons for this mission.</w:t>
      </w:r>
    </w:p>
    <w:p>
      <w:pPr>
        <w:spacing w:after="120"/>
        <w:ind w:left="432"/>
      </w:pPr>
      <w:r>
        <w:rPr>
          <w:rFonts w:ascii="Arial" w:hAnsi="Arial"/>
          <w:b w:val="0"/>
          <w:sz w:val="20"/>
        </w:rPr>
        <w:t>2.  Perimeter-only constraint — no TNSG personnel enter HAAP premises; ICP is outside the perimeter.</w:t>
      </w:r>
    </w:p>
    <w:p>
      <w:pPr>
        <w:spacing w:after="120"/>
        <w:ind w:left="432"/>
      </w:pPr>
      <w:r>
        <w:rPr>
          <w:rFonts w:ascii="Arial" w:hAnsi="Arial"/>
          <w:b w:val="0"/>
          <w:sz w:val="20"/>
        </w:rPr>
        <w:t>3.  Per HAAP POC Mr. Tony Armstrong (20 APR call): SECFOR physical footprint is limited to outside the perimeter fence, parallel to the southernmost side of US 11W only; interior N/S/W patrols and screens are notional only (tabletop); OPFOR non-confrontational, main gate only.</w:t>
      </w:r>
    </w:p>
    <w:p>
      <w:pPr>
        <w:spacing w:after="120"/>
        <w:ind w:left="432"/>
      </w:pPr>
      <w:r>
        <w:rPr>
          <w:rFonts w:ascii="Arial" w:hAnsi="Arial"/>
          <w:b w:val="0"/>
          <w:sz w:val="20"/>
        </w:rPr>
        <w:t>4.  CG dawn-to-dusk / RON-at-home policy applies to TNSG personnel. JFHQ-TN FRAGORD 3 authorizes 278th ACR to provide 50-PAX RON space at Mt Carmel Armory 11-17 MAY, primarily for 1 RGT OPFOR and TNARNG Security / COMMS personnel — not a TNSG-wide RON authorization.</w:t>
      </w:r>
    </w:p>
    <w:p>
      <w:pPr>
        <w:spacing w:after="120"/>
        <w:ind w:left="432"/>
      </w:pPr>
      <w:r>
        <w:rPr>
          <w:rFonts w:ascii="Arial" w:hAnsi="Arial"/>
          <w:b w:val="0"/>
          <w:sz w:val="20"/>
        </w:rPr>
        <w:t>5.  Medical readiness: 17 MRC-1, 10 MRC-2 (role-limited, RGT CO approved), 4 MRC-3 (single-day deviation, BG Cox concurrence required), 7 MRC-4 (verification required NLT 30 APR). Full deviation detail in Block 4 addendum of the Markdown companion.</w:t>
      </w:r>
    </w:p>
    <w:p>
      <w:pPr>
        <w:spacing w:after="120"/>
        <w:ind w:left="432"/>
      </w:pPr>
      <w:r>
        <w:rPr>
          <w:rFonts w:ascii="Arial" w:hAnsi="Arial"/>
          <w:b w:val="0"/>
          <w:sz w:val="20"/>
        </w:rPr>
        <w:t>6.  The signed version will be submitted on the official DD 2977 form; this workbook captures the narrative content and formatting in the DIV-preferred layout used successfully for the 3 RGT UAS Section / Funnel Fury 2026 submission (approved without edits).</w:t>
      </w:r>
    </w:p>
    <w:p/>
    <w:p>
      <w:pPr>
        <w:spacing w:after="80"/>
      </w:pPr>
      <w:r>
        <w:rPr>
          <w:rFonts w:ascii="Arial" w:hAnsi="Arial"/>
          <w:b/>
          <w:color w:val="1A3A5C"/>
          <w:sz w:val="24"/>
        </w:rPr>
        <w:t>RISK ACCEPTANCE</w:t>
      </w:r>
    </w:p>
    <w:p>
      <w:pPr>
        <w:spacing w:after="120"/>
      </w:pPr>
      <w:r>
        <w:rPr>
          <w:rFonts w:ascii="Arial" w:hAnsi="Arial"/>
          <w:b w:val="0"/>
          <w:sz w:val="20"/>
        </w:rPr>
        <w:t>I have reviewed the risk assessment for the above mission/task. I accept the residual risk of MODERATE on behalf of the command, and concur with the medical-readiness deviations in the Block 4 addendum (separate concurrence from BG Cox required for MRC-3 / MRC-4 deviations).</w:t>
      </w:r>
    </w:p>
    <w:p/>
    <w:p>
      <w:pPr>
        <w:spacing w:after="0"/>
      </w:pPr>
      <w:r>
        <w:rPr>
          <w:rFonts w:ascii="Arial" w:hAnsi="Arial"/>
          <w:b w:val="0"/>
          <w:sz w:val="20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/>
          <w:b w:val="0"/>
          <w:sz w:val="20"/>
        </w:rPr>
        <w:t>Name: 1LT Aaron L. Overton III, ASST S3, 3 RGT, TNSG</w:t>
      </w:r>
    </w:p>
    <w:p>
      <w:pPr>
        <w:spacing w:after="0"/>
      </w:pPr>
      <w:r>
        <w:rPr>
          <w:rFonts w:ascii="Arial" w:hAnsi="Arial"/>
          <w:b w:val="0"/>
          <w:sz w:val="20"/>
        </w:rPr>
        <w:t>Role: Preparer</w:t>
      </w:r>
    </w:p>
    <w:p>
      <w:pPr>
        <w:spacing w:after="240"/>
      </w:pPr>
      <w:r>
        <w:rPr>
          <w:rFonts w:ascii="Arial" w:hAnsi="Arial"/>
          <w:b w:val="0"/>
          <w:sz w:val="20"/>
        </w:rPr>
        <w:t>Signature / Date: ____________________________________________</w:t>
      </w:r>
    </w:p>
    <w:p>
      <w:pPr>
        <w:spacing w:after="0"/>
      </w:pPr>
      <w:r>
        <w:rPr>
          <w:rFonts w:ascii="Arial" w:hAnsi="Arial"/>
          <w:b w:val="0"/>
          <w:sz w:val="20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/>
          <w:b w:val="0"/>
          <w:sz w:val="20"/>
        </w:rPr>
        <w:t>Name: LTC John T. Sheaf, S3, 3 RGT, TNSG</w:t>
      </w:r>
    </w:p>
    <w:p>
      <w:pPr>
        <w:spacing w:after="0"/>
      </w:pPr>
      <w:r>
        <w:rPr>
          <w:rFonts w:ascii="Arial" w:hAnsi="Arial"/>
          <w:b w:val="0"/>
          <w:sz w:val="20"/>
        </w:rPr>
        <w:t>Role: S3 / Operations</w:t>
      </w:r>
    </w:p>
    <w:p>
      <w:pPr>
        <w:spacing w:after="240"/>
      </w:pPr>
      <w:r>
        <w:rPr>
          <w:rFonts w:ascii="Arial" w:hAnsi="Arial"/>
          <w:b w:val="0"/>
          <w:sz w:val="20"/>
        </w:rPr>
        <w:t>Signature / Date: ____________________________________________</w:t>
      </w:r>
    </w:p>
    <w:p>
      <w:pPr>
        <w:spacing w:after="0"/>
      </w:pPr>
      <w:r>
        <w:rPr>
          <w:rFonts w:ascii="Arial" w:hAnsi="Arial"/>
          <w:b w:val="0"/>
          <w:sz w:val="20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/>
          <w:b w:val="0"/>
          <w:sz w:val="20"/>
        </w:rPr>
        <w:t>Name: BG Alan Cox, MC</w:t>
      </w:r>
    </w:p>
    <w:p>
      <w:pPr>
        <w:spacing w:after="0"/>
      </w:pPr>
      <w:r>
        <w:rPr>
          <w:rFonts w:ascii="Arial" w:hAnsi="Arial"/>
          <w:b w:val="0"/>
          <w:sz w:val="20"/>
        </w:rPr>
        <w:t>Role: DCG-O / 61st MED BN CO (Medical-Readiness Deviation Concurrence)</w:t>
      </w:r>
    </w:p>
    <w:p>
      <w:pPr>
        <w:spacing w:after="240"/>
      </w:pPr>
      <w:r>
        <w:rPr>
          <w:rFonts w:ascii="Arial" w:hAnsi="Arial"/>
          <w:b w:val="0"/>
          <w:sz w:val="20"/>
        </w:rPr>
        <w:t>Signature / Date: ____________________________________________</w:t>
      </w:r>
    </w:p>
    <w:p>
      <w:pPr>
        <w:spacing w:after="0"/>
      </w:pPr>
      <w:r>
        <w:rPr>
          <w:rFonts w:ascii="Arial" w:hAnsi="Arial"/>
          <w:b w:val="0"/>
          <w:sz w:val="20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/>
          <w:b w:val="0"/>
          <w:sz w:val="20"/>
        </w:rPr>
        <w:t>Name: COL Robert R. Roark, RGT CO, 3 RGT, TNSG</w:t>
      </w:r>
    </w:p>
    <w:p>
      <w:pPr>
        <w:spacing w:after="0"/>
      </w:pPr>
      <w:r>
        <w:rPr>
          <w:rFonts w:ascii="Arial" w:hAnsi="Arial"/>
          <w:b w:val="0"/>
          <w:sz w:val="20"/>
        </w:rPr>
        <w:t>Role: RGT CO (Final Approval — Moderate Residual)</w:t>
      </w:r>
    </w:p>
    <w:p>
      <w:pPr>
        <w:spacing w:after="240"/>
      </w:pPr>
      <w:r>
        <w:rPr>
          <w:rFonts w:ascii="Arial" w:hAnsi="Arial"/>
          <w:b w:val="0"/>
          <w:sz w:val="20"/>
        </w:rPr>
        <w:t>Signature / Date: ____________________________________________</w:t>
      </w:r>
    </w:p>
    <w:p>
      <w:pPr>
        <w:spacing w:after="120"/>
      </w:pPr>
      <w:r>
        <w:rPr>
          <w:rFonts w:ascii="Arial" w:hAnsi="Arial"/>
          <w:b w:val="0"/>
          <w:color w:val="555555"/>
          <w:sz w:val="18"/>
        </w:rPr>
        <w:t>Distribution: 3 RGT CO, 3 RGT S3, DCG-O, 61st MED BN, DIV G3, Safety Officer, all BN CDRs, S1.</w:t>
      </w:r>
    </w:p>
    <w:p>
      <w:pPr>
        <w:spacing w:after="120"/>
      </w:pPr>
      <w:r>
        <w:rPr>
          <w:rFonts w:ascii="Arial" w:hAnsi="Arial"/>
          <w:b w:val="0"/>
          <w:color w:val="555555"/>
          <w:sz w:val="18"/>
        </w:rPr>
        <w:t>Prepared by: 1LT Aaron L. Overton III, ASST S3, 3 RGT, TNSG | 25 April 2026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