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2B4A"/>
          <w:sz w:val="44"/>
          <w:szCs w:val="44"/>
        </w:rPr>
        <w:t xml:space="preserve">LEGAL INQUIRY BRIEF</w:t>
      </w:r>
    </w:p>
    <w:p>
      <w:pPr>
        <w:spacing w:after="60" w:before="0"/>
      </w:pPr>
      <w:r>
        <w:rPr>
          <w:rFonts w:ascii="Arial" w:cs="Arial" w:eastAsia="Arial" w:hAnsi="Arial"/>
          <w:i/>
          <w:iCs/>
          <w:color w:val="2E5082"/>
          <w:sz w:val="26"/>
          <w:szCs w:val="26"/>
        </w:rPr>
        <w:t xml:space="preserve">Use of Personally-Owned DJI Unmanned Aircraft Systems by TNSG Personnel</w:t>
      </w:r>
    </w:p>
    <w:p>
      <w:pPr>
        <w:pBdr>
          <w:bottom w:val="single" w:color="2E5082" w:sz="12" w:space="1"/>
        </w:pBdr>
        <w:spacing w:after="6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DATE:</w:t>
            </w:r>
          </w:p>
        </w:tc>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222222"/>
                <w:sz w:val="20"/>
                <w:szCs w:val="20"/>
              </w:rPr>
              <w:t xml:space="preserve">28 April 2026</w:t>
            </w:r>
          </w:p>
        </w:tc>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FROM:</w:t>
            </w:r>
          </w:p>
        </w:tc>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222222"/>
                <w:sz w:val="20"/>
                <w:szCs w:val="20"/>
              </w:rPr>
              <w:t xml:space="preserve">3rd Regiment UAS Section, TNSG</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TO:</w:t>
            </w:r>
          </w:p>
        </w:tc>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222222"/>
                <w:sz w:val="20"/>
                <w:szCs w:val="20"/>
              </w:rPr>
              <w:t xml:space="preserve">TNSG Judge Advocate General</w:t>
            </w:r>
          </w:p>
        </w:tc>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SUBJECT:</w:t>
            </w:r>
          </w:p>
        </w:tc>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222222"/>
                <w:sz w:val="20"/>
                <w:szCs w:val="20"/>
              </w:rPr>
              <w:t xml:space="preserve">Personal DJI UAS – Legality of Mission Use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CLASSIFICATION:</w:t>
            </w:r>
          </w:p>
        </w:tc>
        <w:tc>
          <w:tcPr>
            <w:tcW w:type="dxa" w:w="7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C0392B"/>
                <w:sz w:val="20"/>
                <w:szCs w:val="20"/>
              </w:rPr>
              <w:t xml:space="preserve">UNCLASSIFIED // FOR OFFICIAL USE ONLY</w:t>
            </w:r>
          </w:p>
        </w:tc>
      </w:tr>
    </w:tbl>
    <w:p>
      <w:pPr>
        <w:spacing w:after="0" w:before="14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1.  PURPOSE</w:t>
      </w:r>
    </w:p>
    <w:p>
      <w:pPr>
        <w:spacing w:after="80" w:before="60"/>
      </w:pPr>
      <w:r>
        <w:rPr>
          <w:rFonts w:ascii="Arial" w:cs="Arial" w:eastAsia="Arial" w:hAnsi="Arial"/>
          <w:color w:val="222222"/>
          <w:sz w:val="22"/>
          <w:szCs w:val="22"/>
        </w:rPr>
        <w:t xml:space="preserve">This brief presents the unit’s research findings regarding the legality of TNSG personnel using personally-owned DJI unmanned aircraft systems (UAS) during official missions or training activities. The question arises from Section 889 of the FY2019 National Defense Authorization Act (NDAA), which prohibits government procurement of DJI equipment, and from subsequent federal and Tennessee state legislation expanding those restrictions.</w:t>
      </w:r>
    </w:p>
    <w:p>
      <w:pPr>
        <w:spacing w:after="0" w:before="40"/>
      </w:pPr>
    </w:p>
    <w:p>
      <w:pPr>
        <w:spacing w:after="80" w:before="60"/>
      </w:pPr>
      <w:r>
        <w:rPr>
          <w:rFonts w:ascii="Arial" w:cs="Arial" w:eastAsia="Arial" w:hAnsi="Arial"/>
          <w:color w:val="222222"/>
          <w:sz w:val="22"/>
          <w:szCs w:val="22"/>
        </w:rPr>
        <w:t xml:space="preserve">The unit has conducted independent analysis of applicable statutory text, legislative history, and judicial decisions. This brief is submitted for JAG review and confirmation, or clarification based on any internal directives or command policies not available to the unit.</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2.  THE QUESTION PRESENTED</w:t>
      </w:r>
    </w:p>
    <w:p>
      <w:pPr>
        <w:spacing w:after="80" w:before="60"/>
      </w:pPr>
      <w:r>
        <w:rPr>
          <w:rFonts w:ascii="Arial" w:cs="Arial" w:eastAsia="Arial" w:hAnsi="Arial"/>
          <w:color w:val="222222"/>
          <w:sz w:val="22"/>
          <w:szCs w:val="22"/>
        </w:rPr>
        <w:t xml:space="preserve">Does any currently enforceable federal statute, Tennessee state statute, or known command directive prohibit a TNSG soldier from operating a personally-owned DJI drone in support of an official TNSG mission or training event, where the organization has not purchased or acquired that drone?</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3.  SCOPE AND LIMITATIONS</w:t>
      </w:r>
    </w:p>
    <w:p>
      <w:pPr>
        <w:spacing w:after="80" w:before="60"/>
      </w:pPr>
      <w:r>
        <w:rPr>
          <w:rFonts w:ascii="Arial" w:cs="Arial" w:eastAsia="Arial" w:hAnsi="Arial"/>
          <w:color w:val="222222"/>
          <w:sz w:val="22"/>
          <w:szCs w:val="22"/>
        </w:rPr>
        <w:t xml:space="preserve">This analysis covers: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Section 889, NDAA FY2019 (Pub. L. 115-232)</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Section 848, NDAA FY2020</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American Security Drone Act of 2023 (ASDA), Title XVIII Subtitle B, NDAA FY2024 (Pub. L. 118-31)</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FAR Interim Rule implementing ASDA, effective 22 December 2025</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Tennessee SB776 / HB1070, 113th General Assembly (enacted 2023), codified at TCA § 12-4-120</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SZ DJI Technology Co., Ltd. v. U.S. Department of Defense, No. 1:2024-cv-02970 (D.D.C. 2025)</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Related federal circuit and district court precedent on NDAA manufacturer ban challenges</w:t>
      </w:r>
    </w:p>
    <w:p>
      <w:pPr>
        <w:spacing w:after="0" w:before="60"/>
      </w:pPr>
    </w:p>
    <w:p>
      <w:pPr>
        <w:spacing w:after="80" w:before="60"/>
      </w:pPr>
      <w:r>
        <w:rPr>
          <w:rFonts w:ascii="Arial" w:cs="Arial" w:eastAsia="Arial" w:hAnsi="Arial"/>
          <w:color w:val="222222"/>
          <w:sz w:val="22"/>
          <w:szCs w:val="22"/>
        </w:rPr>
        <w:t xml:space="preserve">This analysis does not cover NGB regulations, DoD UAS security policies, or TNSG internal SOPs, which are beyond the unit’s access and are the subject of the JAG confirmation request below.</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4.  FEDERAL STATUTORY FRAMEWORK</w:t>
      </w:r>
    </w:p>
    <w:p>
      <w:pPr>
        <w:pStyle w:val="Heading2"/>
        <w:spacing w:after="80" w:before="200"/>
      </w:pPr>
      <w:r>
        <w:rPr>
          <w:rFonts w:ascii="Arial" w:cs="Arial" w:eastAsia="Arial" w:hAnsi="Arial"/>
          <w:b/>
          <w:bCs/>
          <w:color w:val="2E5082"/>
          <w:sz w:val="24"/>
          <w:szCs w:val="24"/>
        </w:rPr>
        <w:t xml:space="preserve">4.1  Section 889, NDAA FY2019 – The Foundational Ban</w:t>
      </w:r>
    </w:p>
    <w:p>
      <w:pPr>
        <w:spacing w:after="80" w:before="60"/>
      </w:pPr>
      <w:r>
        <w:rPr>
          <w:rFonts w:ascii="Arial" w:cs="Arial" w:eastAsia="Arial" w:hAnsi="Arial"/>
          <w:color w:val="222222"/>
          <w:sz w:val="22"/>
          <w:szCs w:val="22"/>
        </w:rPr>
        <w:t xml:space="preserve">Section 889 is a federal acquisition statute, not a general use prohibition. It operates through two parts:</w:t>
      </w:r>
    </w:p>
    <w:p>
      <w:pPr>
        <w:spacing w:after="0" w:before="40"/>
      </w:pP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Part A (effective 13 August 2019): Prohibits federal agencies from procuring or obtaining telecommunications equipment or services from covered entities — including DJI.</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Part B (effective 13 August 2020): Prohibits federal agencies from entering into contracts with any entity that uses covered equipment in its operations, even if unrelated to the federal contract.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2E5082"/>
                <w:sz w:val="20"/>
                <w:szCs w:val="20"/>
              </w:rPr>
              <w:t xml:space="preserve">Section 889(a)(1)(A) – Core Prohibition</w:t>
            </w:r>
            <w:r>
              <w:rPr>
                <w:rFonts w:ascii="Arial" w:cs="Arial" w:eastAsia="Arial" w:hAnsi="Arial"/>
                <w:i/>
                <w:iCs/>
                <w:color w:val="595959"/>
                <w:sz w:val="19"/>
                <w:szCs w:val="19"/>
              </w:rPr>
              <w:t xml:space="preserve">  |  Pub. L. 115-232 § 889</w:t>
            </w:r>
          </w:p>
          <w:p>
            <w:pPr>
              <w:spacing w:after="0" w:before="0"/>
            </w:pPr>
            <w:r>
              <w:rPr>
                <w:rFonts w:ascii="Arial" w:cs="Arial" w:eastAsia="Arial" w:hAnsi="Arial"/>
                <w:i/>
                <w:iCs/>
                <w:color w:val="333333"/>
                <w:sz w:val="20"/>
                <w:szCs w:val="20"/>
              </w:rPr>
              <w:t xml:space="preserve">"The head of an executive agency may not procure or obtain... any equipment, system, or service that uses covered telecommunications equipment or services as a substantial or essential component of any system, or as critical technology as part of any system."</w:t>
            </w:r>
          </w:p>
        </w:tc>
      </w:tr>
    </w:tbl>
    <w:p>
      <w:pPr>
        <w:spacing w:after="0" w:before="100"/>
      </w:pPr>
    </w:p>
    <w:p>
      <w:pPr>
        <w:spacing w:after="80" w:before="60"/>
      </w:pPr>
      <w:r>
        <w:rPr>
          <w:rFonts w:ascii="Arial" w:cs="Arial" w:eastAsia="Arial" w:hAnsi="Arial"/>
          <w:color w:val="222222"/>
          <w:sz w:val="22"/>
          <w:szCs w:val="22"/>
        </w:rPr>
        <w:t xml:space="preserve">Section 889 is explicitly a procurement and contracting statute. It governs the acquisition of equipment using federal funds and the federal contracting relationship. The Tennessee State Guard, as a state entity without federal contractor status under the FAR, is not a regulated party under Section 889 in the procurement sense. Individual TNSG soldiers are not federal contractors.</w:t>
      </w:r>
    </w:p>
    <w:p>
      <w:pPr>
        <w:spacing w:after="0" w:before="40"/>
      </w:pPr>
    </w:p>
    <w:p>
      <w:pPr>
        <w:spacing w:after="80" w:before="60"/>
      </w:pPr>
      <w:r>
        <w:rPr>
          <w:rFonts w:ascii="Arial" w:cs="Arial" w:eastAsia="Arial" w:hAnsi="Arial"/>
          <w:b/>
          <w:bCs/>
          <w:color w:val="222222"/>
          <w:sz w:val="22"/>
          <w:szCs w:val="22"/>
        </w:rPr>
        <w:t xml:space="preserve">Unit conclusion:</w:t>
      </w:r>
      <w:r>
        <w:rPr>
          <w:rFonts w:ascii="Arial" w:cs="Arial" w:eastAsia="Arial" w:hAnsi="Arial"/>
          <w:color w:val="222222"/>
          <w:sz w:val="22"/>
          <w:szCs w:val="22"/>
        </w:rPr>
        <w:t xml:space="preserve"> Section 889 does not directly prohibit a TNSG soldier from operating a personally-owned DJI drone. The statute’s reach is acquisition and procurement, not individual operational use by non-federal-contractor personnel.</w:t>
      </w:r>
    </w:p>
    <w:p>
      <w:pPr>
        <w:spacing w:after="0" w:before="120"/>
      </w:pPr>
    </w:p>
    <w:p>
      <w:pPr>
        <w:pStyle w:val="Heading2"/>
        <w:spacing w:after="80" w:before="200"/>
      </w:pPr>
      <w:r>
        <w:rPr>
          <w:rFonts w:ascii="Arial" w:cs="Arial" w:eastAsia="Arial" w:hAnsi="Arial"/>
          <w:b/>
          <w:bCs/>
          <w:color w:val="2E5082"/>
          <w:sz w:val="24"/>
          <w:szCs w:val="24"/>
        </w:rPr>
        <w:t xml:space="preserve">4.2  American Security Drone Act (ASDA), FY2024 NDAA</w:t>
      </w:r>
    </w:p>
    <w:p>
      <w:pPr>
        <w:spacing w:after="80" w:before="60"/>
      </w:pPr>
      <w:r>
        <w:rPr>
          <w:rFonts w:ascii="Arial" w:cs="Arial" w:eastAsia="Arial" w:hAnsi="Arial"/>
          <w:color w:val="222222"/>
          <w:sz w:val="22"/>
          <w:szCs w:val="22"/>
        </w:rPr>
        <w:t xml:space="preserve">The ASDA significantly expanded drone-specific restrictions beyond the Section 889 framework. The FAR implementing rule became effective 22 December 2025.</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2E5082"/>
                <w:sz w:val="20"/>
                <w:szCs w:val="20"/>
              </w:rPr>
              <w:t xml:space="preserve">ASDA Core Prohibition</w:t>
            </w:r>
            <w:r>
              <w:rPr>
                <w:rFonts w:ascii="Arial" w:cs="Arial" w:eastAsia="Arial" w:hAnsi="Arial"/>
                <w:i/>
                <w:iCs/>
                <w:color w:val="595959"/>
                <w:sz w:val="19"/>
                <w:szCs w:val="19"/>
              </w:rPr>
              <w:t xml:space="preserve">  |  41 U.S.C. 3901 note; FAR 52.240-1 (eff. 22 Dec 2025)</w:t>
            </w:r>
          </w:p>
          <w:p>
            <w:pPr>
              <w:spacing w:after="0" w:before="0"/>
            </w:pPr>
            <w:r>
              <w:rPr>
                <w:rFonts w:ascii="Arial" w:cs="Arial" w:eastAsia="Arial" w:hAnsi="Arial"/>
                <w:i/>
                <w:iCs/>
                <w:color w:val="333333"/>
                <w:sz w:val="20"/>
                <w:szCs w:val="20"/>
              </w:rPr>
              <w:t xml:space="preserve">Federal contractors are prohibited from using federal funds for the procurement or operation of a FASC-prohibited UAS. Agencies are prohibited from procuring services for the operation of a FASC-prohibited UAS.</w:t>
            </w:r>
          </w:p>
        </w:tc>
      </w:tr>
    </w:tbl>
    <w:p>
      <w:pPr>
        <w:spacing w:after="0" w:before="100"/>
      </w:pPr>
    </w:p>
    <w:p>
      <w:pPr>
        <w:spacing w:after="80" w:before="60"/>
      </w:pPr>
      <w:r>
        <w:rPr>
          <w:rFonts w:ascii="Arial" w:cs="Arial" w:eastAsia="Arial" w:hAnsi="Arial"/>
          <w:color w:val="222222"/>
          <w:sz w:val="22"/>
          <w:szCs w:val="22"/>
        </w:rPr>
        <w:t xml:space="preserve">The ASDA introduces an operational use prohibition, but critically it is tied to two conditions: (1) the activity must be performed under a federal contract, grant, or award, and (2) federal funds must be involved. The restriction flows through the federal acquisition chain to contractors and grant recipients.</w:t>
      </w:r>
    </w:p>
    <w:p>
      <w:pPr>
        <w:spacing w:after="0" w:before="40"/>
      </w:pPr>
    </w:p>
    <w:p>
      <w:pPr>
        <w:spacing w:after="80" w:before="60"/>
      </w:pPr>
      <w:r>
        <w:rPr>
          <w:rFonts w:ascii="Arial" w:cs="Arial" w:eastAsia="Arial" w:hAnsi="Arial"/>
          <w:color w:val="222222"/>
          <w:sz w:val="22"/>
          <w:szCs w:val="22"/>
        </w:rPr>
        <w:t xml:space="preserve">The key trigger question for TNSG is federal funding nexus. If a specific TNSG mission, exercise, or training event is funded in whole or in part by federal appropriations (e.g., FEMA grant, Title 32 activation, federal emergency support funds), the ASDA operational prohibition would apply to UAS used in performance of that federally-funded activity — including a personally-owned DJI operated by a soldier in an official capacity.</w:t>
      </w:r>
    </w:p>
    <w:p>
      <w:pPr>
        <w:spacing w:after="0" w:before="40"/>
      </w:pPr>
    </w:p>
    <w:p>
      <w:pPr>
        <w:spacing w:after="80" w:before="60"/>
      </w:pPr>
      <w:r>
        <w:rPr>
          <w:rFonts w:ascii="Arial" w:cs="Arial" w:eastAsia="Arial" w:hAnsi="Arial"/>
          <w:b/>
          <w:bCs/>
          <w:color w:val="222222"/>
          <w:sz w:val="22"/>
          <w:szCs w:val="22"/>
        </w:rPr>
        <w:t xml:space="preserve">Unit conclusion:</w:t>
      </w:r>
      <w:r>
        <w:rPr>
          <w:rFonts w:ascii="Arial" w:cs="Arial" w:eastAsia="Arial" w:hAnsi="Arial"/>
          <w:color w:val="222222"/>
          <w:sz w:val="22"/>
          <w:szCs w:val="22"/>
        </w:rPr>
        <w:t xml:space="preserve"> ASDA creates a conditional operational use prohibition that activates when federal funding is in the causal chain. State-only funded TNSG activities are not covered. Federal-nexus missions are covered. The determination is mission-specific.</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5.  TENNESSEE STATUTORY FRAMEWORK</w:t>
      </w:r>
    </w:p>
    <w:p>
      <w:pPr>
        <w:pStyle w:val="Heading2"/>
        <w:spacing w:after="80" w:before="200"/>
      </w:pPr>
      <w:r>
        <w:rPr>
          <w:rFonts w:ascii="Arial" w:cs="Arial" w:eastAsia="Arial" w:hAnsi="Arial"/>
          <w:b/>
          <w:bCs/>
          <w:color w:val="2E5082"/>
          <w:sz w:val="24"/>
          <w:szCs w:val="24"/>
        </w:rPr>
        <w:t xml:space="preserve">5.1  SB776 / HB1070 – TCA § 12-4-120 (enacted July 2023)</w:t>
      </w:r>
    </w:p>
    <w:p>
      <w:pPr>
        <w:spacing w:after="80" w:before="60"/>
      </w:pPr>
      <w:r>
        <w:rPr>
          <w:rFonts w:ascii="Arial" w:cs="Arial" w:eastAsia="Arial" w:hAnsi="Arial"/>
          <w:color w:val="222222"/>
          <w:sz w:val="22"/>
          <w:szCs w:val="22"/>
        </w:rPr>
        <w:t xml:space="preserve">Tennessee enacted SB776 in 2023 to mirror Section 889 restrictions at the state level. The bill as originally filed contained three prohibited acts: purchasing, acquiring, and “otherwise using.” The final enacted statute contains only two.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0EF" w:val="clear"/>
            <w:tcMar>
              <w:top w:type="dxa" w:w="100"/>
              <w:left w:type="dxa" w:w="160"/>
              <w:bottom w:type="dxa" w:w="100"/>
              <w:right w:type="dxa" w:w="160"/>
            </w:tcMar>
          </w:tcPr>
          <w:p>
            <w:r>
              <w:rPr>
                <w:rFonts w:ascii="Arial" w:cs="Arial" w:eastAsia="Arial" w:hAnsi="Arial"/>
                <w:b/>
                <w:bCs/>
                <w:color w:val="2E5082"/>
                <w:sz w:val="20"/>
                <w:szCs w:val="20"/>
              </w:rPr>
              <w:t xml:space="preserve">Original Bill Language</w:t>
            </w:r>
          </w:p>
          <w:p>
            <w:pPr>
              <w:spacing w:before="60"/>
            </w:pPr>
            <w:r>
              <w:rPr>
                <w:rFonts w:ascii="Arial" w:cs="Arial" w:eastAsia="Arial" w:hAnsi="Arial"/>
                <w:i/>
                <w:iCs/>
                <w:color w:val="333333"/>
                <w:sz w:val="20"/>
                <w:szCs w:val="20"/>
              </w:rPr>
              <w:t xml:space="preserve">Prohibited: purchasing, acquiring, or otherwise using a drone produced by an NDAA-banned manufacturer.</w:t>
            </w:r>
          </w:p>
        </w:tc>
        <w:tc>
          <w:tcPr>
            <w:tcW w:type="dxa" w:w="4680"/>
            <w:tcBorders>
              <w:top w:val="single" w:color="CCCCCC" w:sz="1"/>
              <w:left w:val="single" w:color="CCCCCC" w:sz="1"/>
              <w:bottom w:val="single" w:color="CCCCCC" w:sz="1"/>
              <w:right w:val="single" w:color="CCCCCC" w:sz="1"/>
            </w:tcBorders>
            <w:shd w:fill="EEF2F8" w:val="clear"/>
            <w:tcMar>
              <w:top w:type="dxa" w:w="100"/>
              <w:left w:type="dxa" w:w="160"/>
              <w:bottom w:type="dxa" w:w="100"/>
              <w:right w:type="dxa" w:w="160"/>
            </w:tcMar>
          </w:tcPr>
          <w:p>
            <w:r>
              <w:rPr>
                <w:rFonts w:ascii="Arial" w:cs="Arial" w:eastAsia="Arial" w:hAnsi="Arial"/>
                <w:b/>
                <w:bCs/>
                <w:color w:val="2E5082"/>
                <w:sz w:val="20"/>
                <w:szCs w:val="20"/>
              </w:rPr>
              <w:t xml:space="preserve">Enacted Language (TCA § 12-4-120)</w:t>
            </w:r>
          </w:p>
          <w:p>
            <w:pPr>
              <w:spacing w:before="60"/>
            </w:pPr>
            <w:r>
              <w:rPr>
                <w:rFonts w:ascii="Arial" w:cs="Arial" w:eastAsia="Arial" w:hAnsi="Arial"/>
                <w:i/>
                <w:iCs/>
                <w:color w:val="333333"/>
                <w:sz w:val="20"/>
                <w:szCs w:val="20"/>
              </w:rPr>
              <w:t xml:space="preserve">Prohibited: purchasing or acquiring a drone produced by an NDAA-banned manufacturer.</w:t>
            </w:r>
          </w:p>
        </w:tc>
      </w:tr>
      <w:tr>
        <w:tc>
          <w:tcPr>
            <w:tcW w:type="dxa" w:w="4680"/>
            <w:tcBorders>
              <w:top w:val="single" w:color="CCCCCC" w:sz="1"/>
              <w:left w:val="single" w:color="CCCCCC" w:sz="1"/>
              <w:bottom w:val="single" w:color="CCCCCC" w:sz="1"/>
              <w:right w:val="single" w:color="CCCCCC" w:sz="1"/>
            </w:tcBorders>
            <w:shd w:fill="D5E0EF" w:val="clear"/>
            <w:tcMar>
              <w:top w:type="dxa" w:w="80"/>
              <w:left w:type="dxa" w:w="160"/>
              <w:bottom w:type="dxa" w:w="80"/>
              <w:right w:type="dxa" w:w="160"/>
            </w:tcMar>
          </w:tcPr>
          <w:p>
            <w:r>
              <w:rPr>
                <w:rFonts w:ascii="Arial" w:cs="Arial" w:eastAsia="Arial" w:hAnsi="Arial"/>
                <w:b/>
                <w:bCs/>
                <w:color w:val="C0392B"/>
                <w:sz w:val="19"/>
                <w:szCs w:val="19"/>
              </w:rPr>
              <w:t xml:space="preserve">Senate Amendment #1 (6 March 2023) stripped “otherwise using” from the bill.</w:t>
            </w:r>
          </w:p>
        </w:tc>
        <w:tc>
          <w:tcPr>
            <w:tcW w:type="dxa" w:w="4680"/>
            <w:tcBorders>
              <w:top w:val="single" w:color="CCCCCC" w:sz="1"/>
              <w:left w:val="single" w:color="CCCCCC" w:sz="1"/>
              <w:bottom w:val="single" w:color="CCCCCC" w:sz="1"/>
              <w:right w:val="single" w:color="CCCCCC" w:sz="1"/>
            </w:tcBorders>
            <w:shd w:fill="EEF2F8" w:val="clear"/>
            <w:tcMar>
              <w:top w:type="dxa" w:w="80"/>
              <w:left w:type="dxa" w:w="160"/>
              <w:bottom w:type="dxa" w:w="80"/>
              <w:right w:type="dxa" w:w="160"/>
            </w:tcMar>
          </w:tcPr>
          <w:p>
            <w:r>
              <w:rPr>
                <w:rFonts w:ascii="Arial" w:cs="Arial" w:eastAsia="Arial" w:hAnsi="Arial"/>
                <w:color w:val="333333"/>
                <w:sz w:val="19"/>
                <w:szCs w:val="19"/>
              </w:rPr>
              <w:t xml:space="preserve">House passed amended version 89-0 on 10 April 2023. “Otherwise using” was never restored.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pPr>
              <w:spacing w:after="60" w:before="0"/>
            </w:pPr>
            <w:r>
              <w:rPr>
                <w:rFonts w:ascii="Arial" w:cs="Arial" w:eastAsia="Arial" w:hAnsi="Arial"/>
                <w:b/>
                <w:bCs/>
                <w:color w:val="2E5082"/>
                <w:sz w:val="20"/>
                <w:szCs w:val="20"/>
              </w:rPr>
              <w:t xml:space="preserve">TCA § 12-4-120 – As Enacted</w:t>
            </w:r>
            <w:r>
              <w:rPr>
                <w:rFonts w:ascii="Arial" w:cs="Arial" w:eastAsia="Arial" w:hAnsi="Arial"/>
                <w:i/>
                <w:iCs/>
                <w:color w:val="595959"/>
                <w:sz w:val="19"/>
                <w:szCs w:val="19"/>
              </w:rPr>
              <w:t xml:space="preserve">  |  SB776 / HB1070, 113th General Assembly</w:t>
            </w:r>
          </w:p>
          <w:p>
            <w:pPr>
              <w:spacing w:after="0" w:before="0"/>
            </w:pPr>
            <w:r>
              <w:rPr>
                <w:rFonts w:ascii="Arial" w:cs="Arial" w:eastAsia="Arial" w:hAnsi="Arial"/>
                <w:i/>
                <w:iCs/>
                <w:color w:val="333333"/>
                <w:sz w:val="20"/>
                <w:szCs w:val="20"/>
              </w:rPr>
              <w:t xml:space="preserve">A law enforcement agency, local agency, or state agency is prohibited from purchasing or acquiring a drone, as defined in the federal National Defense Authorization Act of 2019, produced by a manufacturer banned under Section 889 of the NDAA FY2019, as amended. A contract or agreement for the purchase or acquisition of a drone in violation of this section is void and unenforceable.</w:t>
            </w:r>
          </w:p>
        </w:tc>
      </w:tr>
    </w:tbl>
    <w:p>
      <w:pPr>
        <w:spacing w:after="0" w:before="100"/>
      </w:pPr>
    </w:p>
    <w:p>
      <w:pPr>
        <w:spacing w:after="80" w:before="60"/>
      </w:pPr>
      <w:r>
        <w:rPr>
          <w:rFonts w:ascii="Arial" w:cs="Arial" w:eastAsia="Arial" w:hAnsi="Arial"/>
          <w:color w:val="222222"/>
          <w:sz w:val="22"/>
          <w:szCs w:val="22"/>
        </w:rPr>
        <w:t xml:space="preserve">The deliberate removal of “otherwise using” by Senate Amendment #1 is significant legislative history. When a legislature amends a bill to remove specific language before enactment, that removal is presumed intentional. Courts applying standard statutory construction would not read “operational use” back into a statute where the legislature specifically excised it.</w:t>
      </w:r>
    </w:p>
    <w:p>
      <w:pPr>
        <w:spacing w:after="0" w:before="40"/>
      </w:pPr>
    </w:p>
    <w:p>
      <w:pPr>
        <w:spacing w:after="80" w:before="60"/>
      </w:pPr>
      <w:r>
        <w:rPr>
          <w:rFonts w:ascii="Arial" w:cs="Arial" w:eastAsia="Arial" w:hAnsi="Arial"/>
          <w:b/>
          <w:bCs/>
          <w:color w:val="222222"/>
          <w:sz w:val="22"/>
          <w:szCs w:val="22"/>
        </w:rPr>
        <w:t xml:space="preserve">Unit conclusion:</w:t>
      </w:r>
      <w:r>
        <w:rPr>
          <w:rFonts w:ascii="Arial" w:cs="Arial" w:eastAsia="Arial" w:hAnsi="Arial"/>
          <w:color w:val="222222"/>
          <w:sz w:val="22"/>
          <w:szCs w:val="22"/>
        </w:rPr>
        <w:t xml:space="preserve"> TCA § 12-4-120 is exclusively a procurement statute. It prohibits TNSG (as a state agency) from purchasing or acquiring DJI hardware. It does not prohibit TNSG from operating DJI hardware, and it does not reach a soldier’s personally-owned equipment in either context.</w:t>
      </w:r>
    </w:p>
    <w:p>
      <w:pPr>
        <w:spacing w:after="0" w:before="40"/>
      </w:pPr>
    </w:p>
    <w:p>
      <w:pPr>
        <w:spacing w:after="80" w:before="60"/>
      </w:pPr>
      <w:r>
        <w:rPr>
          <w:rFonts w:ascii="Arial" w:cs="Arial" w:eastAsia="Arial" w:hAnsi="Arial"/>
          <w:color w:val="222222"/>
          <w:sz w:val="22"/>
          <w:szCs w:val="22"/>
        </w:rPr>
        <w:t xml:space="preserve">No subsequent Tennessee legislation has restored “operational use” language. No Tennessee court has issued a ruling expanding the scope of TCA § 12-4-120 beyond its enacted text.</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6.  JUDICIAL ANALYSIS</w:t>
      </w:r>
    </w:p>
    <w:p>
      <w:pPr>
        <w:pStyle w:val="Heading2"/>
        <w:spacing w:after="80" w:before="200"/>
      </w:pPr>
      <w:r>
        <w:rPr>
          <w:rFonts w:ascii="Arial" w:cs="Arial" w:eastAsia="Arial" w:hAnsi="Arial"/>
          <w:b/>
          <w:bCs/>
          <w:color w:val="2E5082"/>
          <w:sz w:val="24"/>
          <w:szCs w:val="24"/>
        </w:rPr>
        <w:t xml:space="preserve">6.1  SZ DJI Technology Co., Ltd. v. U.S. Department of Defense</w:t>
      </w:r>
    </w:p>
    <w:p>
      <w:pPr>
        <w:spacing w:after="80" w:before="60"/>
      </w:pPr>
      <w:r>
        <w:rPr>
          <w:rFonts w:ascii="Arial" w:cs="Arial" w:eastAsia="Arial" w:hAnsi="Arial"/>
          <w:color w:val="222222"/>
          <w:sz w:val="22"/>
          <w:szCs w:val="22"/>
        </w:rPr>
        <w:t xml:space="preserve">No. 1:2024-cv-02970 (D.D.C., September 2025)</w:t>
      </w:r>
    </w:p>
    <w:p>
      <w:pPr>
        <w:spacing w:after="0" w:before="60"/>
      </w:pPr>
    </w:p>
    <w:p>
      <w:pPr>
        <w:spacing w:after="80" w:before="60"/>
      </w:pPr>
      <w:r>
        <w:rPr>
          <w:rFonts w:ascii="Arial" w:cs="Arial" w:eastAsia="Arial" w:hAnsi="Arial"/>
          <w:color w:val="222222"/>
          <w:sz w:val="22"/>
          <w:szCs w:val="22"/>
        </w:rPr>
        <w:t xml:space="preserve">DJI filed suit in October 2024 challenging its designation as a “Chinese Military Company” under Section 1260H of the NDAA FY2021, which underlies several downstream procurement restrictions. Judge Friedman’s 49-page opinion is instructive in two respects.</w:t>
      </w:r>
    </w:p>
    <w:p>
      <w:pPr>
        <w:spacing w:after="0" w:before="40"/>
      </w:pPr>
    </w:p>
    <w:p>
      <w:pPr>
        <w:spacing w:after="80" w:before="60"/>
      </w:pPr>
      <w:r>
        <w:rPr>
          <w:rFonts w:ascii="Arial" w:cs="Arial" w:eastAsia="Arial" w:hAnsi="Arial"/>
          <w:b/>
          <w:bCs/>
          <w:color w:val="222222"/>
          <w:sz w:val="22"/>
          <w:szCs w:val="22"/>
        </w:rPr>
        <w:t xml:space="preserve">What the court rejected:</w:t>
      </w:r>
      <w:r>
        <w:rPr>
          <w:rFonts w:ascii="Arial" w:cs="Arial" w:eastAsia="Arial" w:hAnsi="Arial"/>
          <w:color w:val="222222"/>
          <w:sz w:val="22"/>
          <w:szCs w:val="22"/>
        </w:rPr>
        <w:t xml:space="preserve"> The court found no evidence that DJI is owned or controlled by the Chinese Communist Party, affiliated with China’s Ministry of Industry and Information Technology, or operating from a military-civil fusion industrial zone. DJI characterized these findings as vindicating its core position.</w:t>
      </w:r>
    </w:p>
    <w:p>
      <w:pPr>
        <w:spacing w:after="0" w:before="40"/>
      </w:pPr>
    </w:p>
    <w:p>
      <w:pPr>
        <w:spacing w:after="80" w:before="60"/>
      </w:pPr>
      <w:r>
        <w:rPr>
          <w:rFonts w:ascii="Arial" w:cs="Arial" w:eastAsia="Arial" w:hAnsi="Arial"/>
          <w:b/>
          <w:bCs/>
          <w:color w:val="222222"/>
          <w:sz w:val="22"/>
          <w:szCs w:val="22"/>
        </w:rPr>
        <w:t xml:space="preserve">What the court upheld:</w:t>
      </w:r>
      <w:r>
        <w:rPr>
          <w:rFonts w:ascii="Arial" w:cs="Arial" w:eastAsia="Arial" w:hAnsi="Arial"/>
          <w:color w:val="222222"/>
          <w:sz w:val="22"/>
          <w:szCs w:val="22"/>
        </w:rPr>
        <w:t xml:space="preserve"> The designation was sustained on two narrow grounds: (1) DJI’s status as a National Enterprise Technology Center (NETC), a Chinese government innovation designation indicating state support, and (2) DJI’s dual-use technology profile. The court afforded DoD broad discretion in national security listing decisions even without proof of direct CCP control.</w:t>
      </w:r>
    </w:p>
    <w:p>
      <w:pPr>
        <w:spacing w:after="0" w:before="40"/>
      </w:pPr>
    </w:p>
    <w:p>
      <w:pPr>
        <w:spacing w:after="80" w:before="60"/>
      </w:pPr>
      <w:r>
        <w:rPr>
          <w:rFonts w:ascii="Arial" w:cs="Arial" w:eastAsia="Arial" w:hAnsi="Arial"/>
          <w:color w:val="222222"/>
          <w:sz w:val="22"/>
          <w:szCs w:val="22"/>
        </w:rPr>
        <w:t xml:space="preserve">DJI has appealed to the D.C. Circuit arguing the NETC-and-dual-use rationale is insufficient to sustain a military designation. That appeal is pending as of April 2026. No stay has been granted; the designation and associated procurement restrictions remain in effect.</w:t>
      </w:r>
    </w:p>
    <w:p>
      <w:pPr>
        <w:spacing w:after="0" w:before="40"/>
      </w:pPr>
    </w:p>
    <w:p>
      <w:pPr>
        <w:spacing w:after="80" w:before="60"/>
      </w:pPr>
      <w:r>
        <w:rPr>
          <w:rFonts w:ascii="Arial" w:cs="Arial" w:eastAsia="Arial" w:hAnsi="Arial"/>
          <w:b/>
          <w:bCs/>
          <w:color w:val="222222"/>
          <w:sz w:val="22"/>
          <w:szCs w:val="22"/>
        </w:rPr>
        <w:t xml:space="preserve">Relevance to this inquiry:</w:t>
      </w:r>
      <w:r>
        <w:rPr>
          <w:rFonts w:ascii="Arial" w:cs="Arial" w:eastAsia="Arial" w:hAnsi="Arial"/>
          <w:color w:val="222222"/>
          <w:sz w:val="22"/>
          <w:szCs w:val="22"/>
        </w:rPr>
        <w:t xml:space="preserve"> The D.D.C. ruling does not alter the statutory text of Section 889, TCA § 12-4-120, or ASDA. It does not create or remove any use prohibition. It addresses only the validity of the “Chinese Military Company” designation, which is a separate list from the Section 889 procurement blacklist.</w:t>
      </w:r>
    </w:p>
    <w:p>
      <w:pPr>
        <w:spacing w:after="0" w:before="120"/>
      </w:pPr>
    </w:p>
    <w:p>
      <w:pPr>
        <w:pStyle w:val="Heading2"/>
        <w:spacing w:after="80" w:before="200"/>
      </w:pPr>
      <w:r>
        <w:rPr>
          <w:rFonts w:ascii="Arial" w:cs="Arial" w:eastAsia="Arial" w:hAnsi="Arial"/>
          <w:b/>
          <w:bCs/>
          <w:color w:val="2E5082"/>
          <w:sz w:val="24"/>
          <w:szCs w:val="24"/>
        </w:rPr>
        <w:t xml:space="preserve">6.2  Huawei Technologies Co. v. United States</w:t>
      </w:r>
    </w:p>
    <w:p>
      <w:pPr>
        <w:spacing w:after="80" w:before="60"/>
      </w:pPr>
      <w:r>
        <w:rPr>
          <w:rFonts w:ascii="Arial" w:cs="Arial" w:eastAsia="Arial" w:hAnsi="Arial"/>
          <w:color w:val="222222"/>
          <w:sz w:val="22"/>
          <w:szCs w:val="22"/>
        </w:rPr>
        <w:t xml:space="preserve">4:19-CV-00159 (E.D. Tex. 2020)</w:t>
      </w:r>
    </w:p>
    <w:p>
      <w:pPr>
        <w:spacing w:after="0" w:before="60"/>
      </w:pPr>
    </w:p>
    <w:p>
      <w:pPr>
        <w:spacing w:after="80" w:before="60"/>
      </w:pPr>
      <w:r>
        <w:rPr>
          <w:rFonts w:ascii="Arial" w:cs="Arial" w:eastAsia="Arial" w:hAnsi="Arial"/>
          <w:color w:val="222222"/>
          <w:sz w:val="22"/>
          <w:szCs w:val="22"/>
        </w:rPr>
        <w:t xml:space="preserve">Huawei challenged Section 889 as an unconstitutional bill of attainder, arguing that singling out a named company for procurement restrictions constitutes punishment without trial. The district court rejected this challenge, holding that procurement exclusions do not constitute “punishment” under the bill of attainder doctrine because they serve non-punitive national security objectives. This precedent establishes that manufacturer-specific procurement bans are constitutionally sound and are not subject to invalidation on bill of attainder grounds.</w:t>
      </w:r>
    </w:p>
    <w:p>
      <w:pPr>
        <w:spacing w:after="0" w:before="120"/>
      </w:pPr>
    </w:p>
    <w:p>
      <w:pPr>
        <w:pStyle w:val="Heading2"/>
        <w:spacing w:after="80" w:before="200"/>
      </w:pPr>
      <w:r>
        <w:rPr>
          <w:rFonts w:ascii="Arial" w:cs="Arial" w:eastAsia="Arial" w:hAnsi="Arial"/>
          <w:b/>
          <w:bCs/>
          <w:color w:val="2E5082"/>
          <w:sz w:val="24"/>
          <w:szCs w:val="24"/>
        </w:rPr>
        <w:t xml:space="preserve">6.3  Kaspersky Lab, Inc. v. Department of Homeland Security</w:t>
      </w:r>
    </w:p>
    <w:p>
      <w:pPr>
        <w:spacing w:after="80" w:before="60"/>
      </w:pPr>
      <w:r>
        <w:rPr>
          <w:rFonts w:ascii="Arial" w:cs="Arial" w:eastAsia="Arial" w:hAnsi="Arial"/>
          <w:color w:val="222222"/>
          <w:sz w:val="22"/>
          <w:szCs w:val="22"/>
        </w:rPr>
        <w:t xml:space="preserve">841 F.3d 400 (D.C. Cir. 2018)</w:t>
      </w:r>
    </w:p>
    <w:p>
      <w:pPr>
        <w:spacing w:after="0" w:before="60"/>
      </w:pPr>
    </w:p>
    <w:p>
      <w:pPr>
        <w:spacing w:after="80" w:before="60"/>
      </w:pPr>
      <w:r>
        <w:rPr>
          <w:rFonts w:ascii="Arial" w:cs="Arial" w:eastAsia="Arial" w:hAnsi="Arial"/>
          <w:color w:val="222222"/>
          <w:sz w:val="22"/>
          <w:szCs w:val="22"/>
        </w:rPr>
        <w:t xml:space="preserve">The D.C. Circuit reached a similar conclusion in upholding the FY2017 NDAA’s prohibition on government use of Kaspersky Lab software. The court held that exclusionary procurement restrictions based on national security determinations are facially valid and do not require individualized judicial findings. This case reinforces the constitutional durability of the NDAA-based restriction framework.</w:t>
      </w:r>
    </w:p>
    <w:p>
      <w:pPr>
        <w:spacing w:after="0" w:before="120"/>
      </w:pPr>
    </w:p>
    <w:p>
      <w:pPr>
        <w:pStyle w:val="Heading2"/>
        <w:spacing w:after="80" w:before="200"/>
      </w:pPr>
      <w:r>
        <w:rPr>
          <w:rFonts w:ascii="Arial" w:cs="Arial" w:eastAsia="Arial" w:hAnsi="Arial"/>
          <w:b/>
          <w:bCs/>
          <w:color w:val="2E5082"/>
          <w:sz w:val="24"/>
          <w:szCs w:val="24"/>
        </w:rPr>
        <w:t xml:space="preserve">6.4  DJI v. FCC (February 2026)</w:t>
      </w:r>
    </w:p>
    <w:p>
      <w:pPr>
        <w:spacing w:after="80" w:before="60"/>
      </w:pPr>
      <w:r>
        <w:rPr>
          <w:rFonts w:ascii="Arial" w:cs="Arial" w:eastAsia="Arial" w:hAnsi="Arial"/>
          <w:color w:val="222222"/>
          <w:sz w:val="22"/>
          <w:szCs w:val="22"/>
        </w:rPr>
        <w:t xml:space="preserve">DJI has separately challenged its placement on the FCC’s Covered List — a distinct action that blocks DJI from receiving new equipment authorizations for future products. DJI argues the FCC acted without conducting the security review required by the FY2025 NDAA before automatic listing. This litigation is in its early stages and has not produced any order staying the Covered List designation. The FCC listing does not affect operation of already-authorized DJI hardware by private individuals.</w:t>
      </w:r>
    </w:p>
    <w:p>
      <w:pPr>
        <w:spacing w:after="0" w:before="120"/>
      </w:pPr>
    </w:p>
    <w:p>
      <w:pPr>
        <w:pStyle w:val="Heading2"/>
        <w:spacing w:after="80" w:before="200"/>
      </w:pPr>
      <w:r>
        <w:rPr>
          <w:rFonts w:ascii="Arial" w:cs="Arial" w:eastAsia="Arial" w:hAnsi="Arial"/>
          <w:b/>
          <w:bCs/>
          <w:color w:val="2E5082"/>
          <w:sz w:val="24"/>
          <w:szCs w:val="24"/>
        </w:rPr>
        <w:t xml:space="preserve">6.5  Summary of Judicial Posture</w:t>
      </w:r>
    </w:p>
    <w:p>
      <w:pPr>
        <w:spacing w:after="80" w:before="60"/>
      </w:pPr>
      <w:r>
        <w:rPr>
          <w:rFonts w:ascii="Arial" w:cs="Arial" w:eastAsia="Arial" w:hAnsi="Arial"/>
          <w:color w:val="222222"/>
          <w:sz w:val="22"/>
          <w:szCs w:val="22"/>
        </w:rPr>
        <w:t xml:space="preserve">No federal or Tennessee court has issued any ruling that:</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Invalidates or narrows the Section 889 procurement ban</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Expands TCA § 12-4-120 beyond its enacted “purchase or acquire” text</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Restores “otherwise using” language to the Tennessee statute</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Creates a carve-out for personal equipment used in official capacities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Grants injunctive relief that would suspend any applicable restriction</w:t>
      </w:r>
    </w:p>
    <w:p>
      <w:pPr>
        <w:spacing w:after="0" w:before="60"/>
      </w:pPr>
    </w:p>
    <w:p>
      <w:pPr>
        <w:spacing w:after="80" w:before="60"/>
      </w:pPr>
      <w:r>
        <w:rPr>
          <w:rFonts w:ascii="Arial" w:cs="Arial" w:eastAsia="Arial" w:hAnsi="Arial"/>
          <w:color w:val="222222"/>
          <w:sz w:val="22"/>
          <w:szCs w:val="22"/>
        </w:rPr>
        <w:t xml:space="preserve">The litigation trajectory runs against DJI on every front where a ruling has been issued. The legislation stands as enacted.</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7.  UNIT FINDINGS BY SCENARIO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i w:val="false"/>
                <w:iCs w:val="false"/>
                <w:color w:val="FFFFFF"/>
                <w:sz w:val="20"/>
                <w:szCs w:val="20"/>
              </w:rPr>
              <w:t xml:space="preserve">Legal Basis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Soldier owns DJI; uses it recreationally off-duty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6B3A"/>
                <w:sz w:val="19"/>
                <w:szCs w:val="19"/>
              </w:rPr>
              <w:t xml:space="preserve">NOT PROHIBITED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No statute restricts personal civilian use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TNSG organization purchases or acquires a DJI drone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PROHIBITED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TCA § 12-4-120; Section 889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Soldier brings personal DJI; operates it during a state-funded TNSG mission in official capacity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 PROHIBITED
(by statute)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TCA § 12-4-120 covers purchase/acquire only; “otherwise using” was removed by amendment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Soldier brings personal DJI; operates it during a federally-funded mission (Title 32, FEMA grant,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B5800"/>
                <w:sz w:val="19"/>
                <w:szCs w:val="19"/>
              </w:rPr>
              <w:t xml:space="preserve">CONTEXT-DEPENDENT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ASDA / FAR 52.240-1 (Dec 2025) prohibits operation on federally-funded 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TNSG officially tasks a soldier to fly their personal DJI as a mission asset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B5800"/>
                <w:sz w:val="19"/>
                <w:szCs w:val="19"/>
              </w:rPr>
              <w:t xml:space="preserve">CONTEXT-DEPENDENT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19"/>
                <w:szCs w:val="19"/>
              </w:rPr>
              <w:t xml:space="preserve">State-only funding: not prohibited by statute. Federal nexus: ASDA applies</w:t>
            </w:r>
          </w:p>
        </w:tc>
      </w:tr>
    </w:tbl>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8.  FACTORS OUTSIDE UNIT VISIBILITY</w:t>
      </w:r>
    </w:p>
    <w:p>
      <w:pPr>
        <w:spacing w:after="80" w:before="60"/>
      </w:pPr>
      <w:r>
        <w:rPr>
          <w:rFonts w:ascii="Arial" w:cs="Arial" w:eastAsia="Arial" w:hAnsi="Arial"/>
          <w:color w:val="222222"/>
          <w:sz w:val="22"/>
          <w:szCs w:val="22"/>
        </w:rPr>
        <w:t xml:space="preserve">The unit’s statutory and judicial research is complete to the best of our ability. However, the following policy layers are not accessible to the unit and could affect the above findings:</w:t>
      </w:r>
    </w:p>
    <w:p>
      <w:pPr>
        <w:spacing w:after="0" w:before="60"/>
      </w:pP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NGB / ARNG UAS security policy directives that may impose operational use restrictions beyond statutory minimums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DoD UAS Cybersecurity requirements applicable to National Guard units operating in a federal status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TAG-level or TNAG-issued directives restricting use of foreign-manufactured UAS by TNSG personnel</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Any TNSG SOP, standing order, or command policy addressing personally-owned equipment used during official activities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OPSEC or intelligence community guidance that may functionally prohibit DJI use in certain mission sets regardless of legal status</w:t>
      </w:r>
    </w:p>
    <w:p>
      <w:pPr>
        <w:spacing w:after="0" w:before="60"/>
      </w:pPr>
    </w:p>
    <w:p>
      <w:pPr>
        <w:spacing w:after="80" w:before="60"/>
      </w:pPr>
      <w:r>
        <w:rPr>
          <w:rFonts w:ascii="Arial" w:cs="Arial" w:eastAsia="Arial" w:hAnsi="Arial"/>
          <w:color w:val="222222"/>
          <w:sz w:val="22"/>
          <w:szCs w:val="22"/>
        </w:rPr>
        <w:t xml:space="preserve">Any one of these internal policy instruments could operationally prohibit what the statutes do not, without contradicting the statutory analysis above.</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9.  REQUEST FOR JAG CONFIRMATION</w:t>
      </w:r>
    </w:p>
    <w:p>
      <w:pPr>
        <w:spacing w:after="80" w:before="60"/>
      </w:pPr>
      <w:r>
        <w:rPr>
          <w:rFonts w:ascii="Arial" w:cs="Arial" w:eastAsia="Arial" w:hAnsi="Arial"/>
          <w:color w:val="222222"/>
          <w:sz w:val="22"/>
          <w:szCs w:val="22"/>
        </w:rPr>
        <w:t xml:space="preserve">Based on the foregoing, the unit respectfully requests JAG confirm, correct, or qualify the following conclusions:</w:t>
      </w:r>
    </w:p>
    <w:p>
      <w:pPr>
        <w:spacing w:after="0" w:before="60"/>
      </w:pPr>
    </w:p>
    <w:p>
      <w:pPr>
        <w:pStyle w:val="ListParagraph"/>
        <w:numPr>
          <w:ilvl w:val="0"/>
          <w:numId w:val="3"/>
        </w:numPr>
        <w:spacing w:after="60" w:before="60"/>
      </w:pPr>
      <w:r>
        <w:rPr>
          <w:rFonts w:ascii="Arial" w:cs="Arial" w:eastAsia="Arial" w:hAnsi="Arial"/>
          <w:color w:val="222222"/>
          <w:sz w:val="22"/>
          <w:szCs w:val="22"/>
        </w:rPr>
        <w:t xml:space="preserve">Section 889 (FY2019 NDAA) does not prohibit TNSG soldiers from operating personally-owned DJI hardware, as it is a federal acquisition statute that applies to procurement and federal contracting relationships — not to state entity personnel operating personal equipment.</w:t>
      </w:r>
    </w:p>
    <w:p>
      <w:pPr>
        <w:pStyle w:val="ListParagraph"/>
        <w:numPr>
          <w:ilvl w:val="0"/>
          <w:numId w:val="3"/>
        </w:numPr>
        <w:spacing w:after="60" w:before="60"/>
      </w:pPr>
      <w:r>
        <w:rPr>
          <w:rFonts w:ascii="Arial" w:cs="Arial" w:eastAsia="Arial" w:hAnsi="Arial"/>
          <w:color w:val="222222"/>
          <w:sz w:val="22"/>
          <w:szCs w:val="22"/>
        </w:rPr>
        <w:t xml:space="preserve">TCA § 12-4-120 prohibits TNSG from purchasing or acquiring DJI hardware but does not prohibit operational use, based on the enacted statutory text and the deliberate removal of “otherwise using” language by Senate Amendment #1 prior to passage.</w:t>
      </w:r>
    </w:p>
    <w:p>
      <w:pPr>
        <w:pStyle w:val="ListParagraph"/>
        <w:numPr>
          <w:ilvl w:val="0"/>
          <w:numId w:val="3"/>
        </w:numPr>
        <w:spacing w:after="60" w:before="60"/>
      </w:pPr>
      <w:r>
        <w:rPr>
          <w:rFonts w:ascii="Arial" w:cs="Arial" w:eastAsia="Arial" w:hAnsi="Arial"/>
          <w:color w:val="222222"/>
          <w:sz w:val="22"/>
          <w:szCs w:val="22"/>
        </w:rPr>
        <w:t xml:space="preserve">The American Security Drone Act (ASDA) creates an operational use prohibition tied to federal funding. For TNSG missions or exercises with a federal funding nexus, a soldier operating a personally-owned DJI in an official capacity would likely be prohibited under the ASDA framework effective 22 December 2025.</w:t>
      </w:r>
    </w:p>
    <w:p>
      <w:pPr>
        <w:pStyle w:val="ListParagraph"/>
        <w:numPr>
          <w:ilvl w:val="0"/>
          <w:numId w:val="3"/>
        </w:numPr>
        <w:spacing w:after="60" w:before="60"/>
      </w:pPr>
      <w:r>
        <w:rPr>
          <w:rFonts w:ascii="Arial" w:cs="Arial" w:eastAsia="Arial" w:hAnsi="Arial"/>
          <w:color w:val="222222"/>
          <w:sz w:val="22"/>
          <w:szCs w:val="22"/>
        </w:rPr>
        <w:t xml:space="preserve">No judicial ruling has modified, narrowed, or expanded any of the above statutory provisions in a manner that would change these conclusions.</w:t>
      </w:r>
    </w:p>
    <w:p>
      <w:pPr>
        <w:pStyle w:val="ListParagraph"/>
        <w:numPr>
          <w:ilvl w:val="0"/>
          <w:numId w:val="3"/>
        </w:numPr>
        <w:spacing w:after="60" w:before="60"/>
      </w:pPr>
      <w:r>
        <w:rPr>
          <w:rFonts w:ascii="Arial" w:cs="Arial" w:eastAsia="Arial" w:hAnsi="Arial"/>
          <w:color w:val="222222"/>
          <w:sz w:val="22"/>
          <w:szCs w:val="22"/>
        </w:rPr>
        <w:t xml:space="preserve">Please advise whether any NGB directive, DoD UAS policy, TAG-level order, or TNSG internal policy imposes operational use restrictions beyond the above statutes that would further limit or prohibit a soldier’s use of personally-owned DJI hardware during official TNSG activities.</w:t>
      </w:r>
    </w:p>
    <w:p>
      <w:pPr>
        <w:spacing w:after="0" w:before="80"/>
      </w:pPr>
    </w:p>
    <w:p>
      <w:pPr>
        <w:pBdr>
          <w:bottom w:val="single" w:color="1A2B4A" w:sz="4" w:space="1"/>
        </w:pBdr>
        <w:spacing w:after="60" w:before="60"/>
      </w:pPr>
    </w:p>
    <w:p>
      <w:pPr>
        <w:spacing w:after="0" w:before="80"/>
      </w:pPr>
    </w:p>
    <w:p>
      <w:pPr>
        <w:pStyle w:val="Heading1"/>
        <w:spacing w:after="100" w:before="280"/>
      </w:pPr>
      <w:r>
        <w:rPr>
          <w:rFonts w:ascii="Arial" w:cs="Arial" w:eastAsia="Arial" w:hAnsi="Arial"/>
          <w:b/>
          <w:bCs/>
          <w:color w:val="1A2B4A"/>
          <w:sz w:val="28"/>
          <w:szCs w:val="28"/>
        </w:rPr>
        <w:t xml:space="preserve">10.  REFERENCES</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Section 889, National Defense Authorization Act for Fiscal Year 2019, Pub. L. 115-232</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Section 848, National Defense Authorization Act for Fiscal Year 2020</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American Security Drone Act of 2023, Title XVIII Subtitle B, Pub. L. 118-31 (NDAA FY2024)</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FAR Interim Rule, Prohibition on UAS from Covered Foreign Entities, 89 Fed. Reg. 89757 (12 Nov 2024), eff. 22 Dec 2025</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Tennessee SB776 / HB1070, 113th General Assembly (2023); TCA § 12-4-120</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Senate Amendment #1 to SB776, adopted 6 March 2023 (removing “otherwise using” language)</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SZ DJI Technology Co., Ltd. v. U.S. Dep’t of Defense, No. 1:2024-cv-02970 (D.D.C. Sep. 2025)</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Huawei Technologies Co. v. United States, 4:19-CV-00159 (E.D. Tex. 2020)</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Kaspersky Lab, Inc. v. Dep’t of Homeland Security, 841 F.3d 400 (D.C. Cir. 2018)</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DJI v. FCC (D.C. Cir. 2026, pending)</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Federal Acquisition Security Council (FASC) FASC-Prohibited UAS List, SAM.gov</w:t>
      </w:r>
    </w:p>
    <w:p>
      <w:pPr>
        <w:pStyle w:val="ListParagraph"/>
        <w:numPr>
          <w:ilvl w:val="0"/>
          <w:numId w:val="2"/>
        </w:numPr>
        <w:spacing w:after="40" w:before="40"/>
        <w:ind w:left="720" w:hanging="360"/>
      </w:pPr>
      <w:r>
        <w:rPr>
          <w:rFonts w:ascii="Arial" w:cs="Arial" w:eastAsia="Arial" w:hAnsi="Arial"/>
          <w:b w:val="false"/>
          <w:bCs w:val="false"/>
          <w:color w:val="222222"/>
          <w:sz w:val="22"/>
          <w:szCs w:val="22"/>
        </w:rPr>
        <w:t xml:space="preserve">DoD Blue UAS Cleared List, Defense Innovation Unit (DIU)</w:t>
      </w:r>
    </w:p>
    <w:p>
      <w:pPr>
        <w:spacing w:after="0" w:before="120"/>
      </w:pPr>
    </w:p>
    <w:p>
      <w:pPr>
        <w:pBdr>
          <w:bottom w:val="single" w:color="1A2B4A" w:sz="2" w:space="1"/>
        </w:pBdr>
        <w:spacing w:after="60" w:before="60"/>
      </w:pPr>
    </w:p>
    <w:p>
      <w:pPr>
        <w:spacing w:after="0" w:before="80"/>
      </w:pPr>
    </w:p>
    <w:p>
      <w:pPr>
        <w:spacing w:after="60" w:before="0"/>
        <w:jc w:val="center"/>
      </w:pPr>
      <w:r>
        <w:rPr>
          <w:rFonts w:ascii="Arial" w:cs="Arial" w:eastAsia="Arial" w:hAnsi="Arial"/>
          <w:b/>
          <w:bCs/>
          <w:color w:val="C0392B"/>
          <w:sz w:val="20"/>
          <w:szCs w:val="20"/>
        </w:rPr>
        <w:t xml:space="preserve">UNCLASSIFIED // FOR OFFICIAL USE ONLY</w:t>
      </w:r>
    </w:p>
    <w:p>
      <w:pPr>
        <w:jc w:val="center"/>
      </w:pPr>
      <w:r>
        <w:rPr>
          <w:rFonts w:ascii="Arial" w:cs="Arial" w:eastAsia="Arial" w:hAnsi="Arial"/>
          <w:i/>
          <w:iCs/>
          <w:color w:val="595959"/>
          <w:sz w:val="19"/>
          <w:szCs w:val="19"/>
        </w:rPr>
        <w:t xml:space="preserve">This brief was prepared by the 3rd Regiment UAS Section and is submitted for JAG review. It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pPr>
    <w:r>
      <w:rPr>
        <w:rFonts w:ascii="Arial" w:cs="Arial" w:eastAsia="Arial" w:hAnsi="Arial"/>
        <w:color w:val="595959"/>
        <w:sz w:val="18"/>
        <w:szCs w:val="18"/>
      </w:rPr>
      <w:t xml:space="preserve">UNCLASSIFIED // FOR OFFICIAL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28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82" w:sz="6" w:space="1"/>
      </w:pBdr>
      <w:spacing w:after="100" w:before="0"/>
    </w:pPr>
    <w:r>
      <w:rPr>
        <w:rFonts w:ascii="Arial" w:cs="Arial" w:eastAsia="Arial" w:hAnsi="Arial"/>
        <w:color w:val="595959"/>
        <w:sz w:val="18"/>
        <w:szCs w:val="18"/>
      </w:rPr>
      <w:t xml:space="preserve">TNSG 3rd Regiment  //  Legal Inquiry – UAS Compliance</w:t>
    </w:r>
    <w:r>
      <w:rPr>
        <w:rFonts w:ascii="Arial" w:cs="Arial" w:eastAsia="Arial" w:hAnsi="Arial"/>
        <w:b/>
        <w:bCs/>
        <w:color w:val="C0392B"/>
        <w:sz w:val="18"/>
        <w:szCs w:val="18"/>
      </w:rPr>
      <w:t xml:space="preserve">  |  DRAFT – FOR JAG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2B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2026-04-29T01:34:14.406Z</dcterms:created>
  <dcterms:modified xsi:type="dcterms:W3CDTF">2026-04-29T01:34:14.425Z</dcterms:modified>
</cp:coreProperties>
</file>

<file path=docProps/custom.xml><?xml version="1.0" encoding="utf-8"?>
<Properties xmlns="http://schemas.openxmlformats.org/officeDocument/2006/custom-properties" xmlns:vt="http://schemas.openxmlformats.org/officeDocument/2006/docPropsVTypes"/>
</file>