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Phụ lục: Hiệu quả đầu tư (backtest) và giả định kết hợp từ khóa</w:t>
      </w:r>
    </w:p>
    <w:p>
      <w:r>
        <w:rPr>
          <w:i/>
        </w:rPr>
        <w:t>Tài liệu tổng hợp phục vụ Chương 4 (Kết quả thí nghiệm) và Chương 5 (Kết luận). Mọi con số được trích trực tiếp từ các artifact trong thư mục reports/.</w:t>
      </w:r>
    </w:p>
    <w:p>
      <w:pPr>
        <w:pStyle w:val="Heading1"/>
      </w:pPr>
      <w:r>
        <w:rPr>
          <w:color w:val="1F4E79"/>
        </w:rPr>
        <w:t>Phần A — Hiệu quả đầu tư của mô hình kỹ thuật</w:t>
      </w:r>
    </w:p>
    <w:p>
      <w:pPr>
        <w:pStyle w:val="Heading2"/>
      </w:pPr>
      <w:r>
        <w:rPr>
          <w:color w:val="1F4E79"/>
        </w:rPr>
        <w:t>A.1. Từ độ chính xác sang giá trị đầu tư</w:t>
      </w:r>
    </w:p>
    <w:p>
      <w:r>
        <w:rPr>
          <w:b w:val="0"/>
          <w:sz w:val="22"/>
        </w:rPr>
        <w:t>Luận văn trước đây mới đo độ chính xác dự báo (balanced accuracy ≈ 0,76; AUC ≈ 0,82 với LightGBM, Config_A — chỉ đặc trưng kỹ thuật). Phần backtest chuyển kết quả đó thành giá trị đầu tư thực tế bằng chiến lược long-only đúng đặc thù thị trường cơ sở Việt Nam, đo lợi nhuận sau chi phí và so với các benchmark.</w:t>
      </w:r>
    </w:p>
    <w:p>
      <w:pPr>
        <w:pStyle w:val="Heading2"/>
      </w:pPr>
      <w:r>
        <w:rPr>
          <w:color w:val="1F4E79"/>
        </w:rPr>
        <w:t>A.2. Kết quả trên tập test chính (cutoff 2025Q1)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Chiến lược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Kịch bản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LN tích lũy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LN kỳ TB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Độ lệch chuẩn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Max DD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Hit rate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Tổng chi phí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Mô hình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gross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0.1046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0.0969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1.0795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Mô hình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0.1023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0.0972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1.0517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0.0120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Buy-and-hold đều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gross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0.2535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0.1138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Buy-and-hold đều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0.2535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0.1138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Equal-weight tái cân bằng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gross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0.2535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0.1138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Equal-weight tái cân bằng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0.2535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0.1138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0.0000</w:t>
            </w:r>
          </w:p>
        </w:tc>
      </w:tr>
    </w:tbl>
    <w:p>
      <w:r>
        <w:rPr>
          <w:b/>
          <w:sz w:val="22"/>
        </w:rPr>
        <w:t>Diễn giải chính:</w:t>
      </w:r>
    </w:p>
    <w:p>
      <w:pPr>
        <w:pStyle w:val="ListBullet"/>
      </w:pPr>
      <w:r>
        <w:t>Lợi nhuận: sau chi phí, chiến lược mô hình đạt 60,3% trên 5 quý, gấp ~2,4 lần benchmark (25,4%).</w:t>
      </w:r>
    </w:p>
    <w:p>
      <w:pPr>
        <w:pStyle w:val="ListBullet"/>
      </w:pPr>
      <w:r>
        <w:t>Rủi ro–lợi nhuận: Sharpe 1,05 (net) so với 0,45 của benchmark; độ lệch chuẩn kỳ của mô hình (0,097) còn thấp hơn benchmark (0,114).</w:t>
      </w:r>
    </w:p>
    <w:p>
      <w:pPr>
        <w:pStyle w:val="ListBullet"/>
      </w:pPr>
      <w:r>
        <w:t>Kiểm soát sụt giảm: Max Drawdown mô hình gần 0 (−0,10% net) so với −2,00% của benchmark; hit rate 0,80 so với 0,60.</w:t>
      </w:r>
    </w:p>
    <w:p>
      <w:pPr>
        <w:pStyle w:val="ListBullet"/>
      </w:pPr>
      <w:r>
        <w:t>Chi phí: tổng chi phí giao dịch tích lũy chỉ ~1,2% NAV; khoảng cách gross↔net hẹp (62,1% → 60,3%).</w:t>
      </w:r>
    </w:p>
    <w:p>
      <w:r>
        <w:rPr>
          <w:i/>
        </w:rPr>
        <w:t>Lưu ý minh bạch: hai benchmark cho kết quả trùng khớp vì đủ 80 mã đều có dữ liệu ở cả 5 quý (không có mã rời/mới), nên tái cân bằng đều mỗi quý ≈ nắm giữ đều.</w:t>
      </w:r>
    </w:p>
    <w:p>
      <w:pPr>
        <w:pStyle w:val="Heading2"/>
      </w:pPr>
      <w:r>
        <w:rPr>
          <w:color w:val="1F4E79"/>
        </w:rPr>
        <w:t>A.3. Độ ổn định theo thời gian (walk-forward)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Cutoff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Số mẫu test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LN tích lũy mô hình (net)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LN tích lũy buy-and-hold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2024Q3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0.2818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2025Q1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2025Q3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0.0072</w:t>
            </w:r>
          </w:p>
        </w:tc>
      </w:tr>
    </w:tbl>
    <w:p>
      <w:pPr>
        <w:pStyle w:val="ListBullet"/>
      </w:pPr>
      <w:r>
        <w:t>Balanced accuracy trung bình 0,7076, dao động [0,6400 – 0,7599]; chiến lược vượt buy-and-hold ở 3/3 cutoff và lợi nhuận net dương ở 3/3 cutoff.</w:t>
      </w:r>
    </w:p>
    <w:p>
      <w:pPr>
        <w:pStyle w:val="ListBullet"/>
      </w:pPr>
      <w:r>
        <w:t>Cảnh báo: cutoff gần nhất (2025Q3) yếu hơn hẳn (BA 0,64; lợi nhuận 0,118) do tập test ngắn — ưu thế mô hình co lại khi cửa sổ test thu hẹp.</w:t>
      </w:r>
    </w:p>
    <w:p>
      <w:pPr>
        <w:pStyle w:val="Heading2"/>
      </w:pPr>
      <w:r>
        <w:rPr>
          <w:color w:val="1F4E79"/>
        </w:rPr>
        <w:t>A.4. Đặc trưng kỹ thuật quan trọng nhất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Hạng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Đặc trưng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mean|SHAP|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Permutation importance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rsi_end_q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0.1860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macd_hist_mean_q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0.0192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price_vs_sma20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return_2q_ago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return_q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0.0128</w:t>
            </w:r>
          </w:p>
        </w:tc>
      </w:tr>
    </w:tbl>
    <w:p>
      <w:pPr>
        <w:pStyle w:val="ListBullet"/>
      </w:pPr>
      <w:r>
        <w:t>rsi_end_q áp đảo: mean|SHAP| gấp ~3,3 lần đặc trưng hạng 2 và permutation importance gấp ~10 lần. Nhóm động lượng (RSI, MACD, giá vs SMA20) và lợi nhuận quá khứ chi phối dự báo.</w:t>
      </w:r>
    </w:p>
    <w:p>
      <w:pPr>
        <w:pStyle w:val="Heading2"/>
      </w:pPr>
      <w:r>
        <w:rPr>
          <w:color w:val="1F4E79"/>
        </w:rPr>
        <w:t>A.5. Bảo vệ độ tin cậy — kiểm toán rò rỉ</w:t>
      </w:r>
    </w:p>
    <w:p>
      <w:r>
        <w:rPr>
          <w:b w:val="0"/>
          <w:sz w:val="22"/>
        </w:rPr>
        <w:t>Kiểm toán rò rỉ thời gian PASS: 16 đặc trưng (14 in-period + 2 past), 0 đặc trưng future; không cột nhãn/return tương lai lọt vào feature set; không đặc trưng nào có |corr| với nhãn vượt 0,95. Đây là bằng chứng con số BA ≈ 0,76 không đến từ rò rỉ dữ liệu.</w:t>
      </w:r>
    </w:p>
    <w:p>
      <w:pPr>
        <w:pStyle w:val="Heading1"/>
      </w:pPr>
      <w:r>
        <w:rPr>
          <w:color w:val="1F4E79"/>
        </w:rPr>
        <w:t>Phần B — Giả định và kết quả kết hợp đặc trưng từ khóa</w:t>
      </w:r>
    </w:p>
    <w:p>
      <w:pPr>
        <w:pStyle w:val="Heading2"/>
      </w:pPr>
      <w:r>
        <w:rPr>
          <w:color w:val="1F4E79"/>
        </w:rPr>
        <w:t>B.1. Cấu hình đặc trưng và giả định kết hợp</w:t>
      </w:r>
    </w:p>
    <w:p>
      <w:r>
        <w:rPr>
          <w:b w:val="0"/>
          <w:sz w:val="22"/>
        </w:rPr>
        <w:t>Ba cấu hình so sánh trên cùng tập test, cùng quy trình chia thời gian, cùng imputer: Config_A (chỉ kỹ thuật), Config_B (chỉ từ khóa), Config_C (kết hợp kỹ thuật + từ khóa).</w:t>
      </w:r>
    </w:p>
    <w:p>
      <w:r>
        <w:rPr>
          <w:b/>
          <w:sz w:val="22"/>
        </w:rPr>
        <w:t>Các giả định của cách kết hợp từ khóa:</w:t>
      </w:r>
    </w:p>
    <w:p>
      <w:pPr>
        <w:pStyle w:val="ListBullet"/>
      </w:pPr>
      <w:r>
        <w:t>Tổng hợp theo quý: đặc trưng từ khóa của một mã trong một quý được tổng hợp từ toàn bộ bài tin trong quý — làm mờ thông tin thời điểm trong quý.</w:t>
      </w:r>
    </w:p>
    <w:p>
      <w:pPr>
        <w:pStyle w:val="ListBullet"/>
      </w:pPr>
      <w:r>
        <w:t>Biểu diễn túi-từ-khóa: tín hiệu văn bản rút gọn về tần suất một danh sách từ khóa tài chính định trước, không mô hình hóa đầy đủ ngữ cảnh/phủ định ở tầng cơ bản.</w:t>
      </w:r>
    </w:p>
    <w:p>
      <w:pPr>
        <w:pStyle w:val="ListBullet"/>
      </w:pPr>
      <w:r>
        <w:t>Ranh giới thời gian: đặc trưng từ khóa quý q chỉ dùng tin đến hết quý q, khớp cùng ranh giới đặc trưng kỹ thuật (không rò rỉ).</w:t>
      </w:r>
    </w:p>
    <w:p>
      <w:pPr>
        <w:pStyle w:val="ListBullet"/>
      </w:pPr>
      <w:r>
        <w:t>Kết hợp cộng tính: kết hợp = nối đặc trưng, để mô hình tự học trọng số, không áp đặt tương tác kỹ thuật×văn bản thủ công.</w:t>
      </w:r>
    </w:p>
    <w:p>
      <w:pPr>
        <w:pStyle w:val="Heading2"/>
      </w:pPr>
      <w:r>
        <w:rPr>
          <w:color w:val="1F4E79"/>
        </w:rPr>
        <w:t>B.2. Ba giả thuyết kiểm chứng</w:t>
      </w:r>
    </w:p>
    <w:p>
      <w:pPr>
        <w:pStyle w:val="ListBullet"/>
      </w:pPr>
      <w:r>
        <w:t>H1 — Đặc trưng văn bản cải thiện dự báo: kỳ vọng Δ(C−A) &gt; 0.</w:t>
      </w:r>
    </w:p>
    <w:p>
      <w:pPr>
        <w:pStyle w:val="ListBullet"/>
      </w:pPr>
      <w:r>
        <w:t>H2 — Đặc trưng văn bản bổ sung thông tin ngoài giá: kỳ vọng Config_B mang tín hiệu dự báo phi ngẫu nhiên.</w:t>
      </w:r>
    </w:p>
    <w:p>
      <w:pPr>
        <w:pStyle w:val="ListBullet"/>
      </w:pPr>
      <w:r>
        <w:t>H3 — Tín hiệu văn bản có điều kiện theo phân khúc/độ chi tiết.</w:t>
      </w:r>
    </w:p>
    <w:p>
      <w:pPr>
        <w:pStyle w:val="Heading2"/>
      </w:pPr>
      <w:r>
        <w:rPr>
          <w:color w:val="1F4E79"/>
        </w:rPr>
        <w:t>B.3. Kết quả — từ khóa gần như không thêm giá trị</w:t>
      </w:r>
    </w:p>
    <w:p>
      <w:r>
        <w:rPr>
          <w:b/>
          <w:sz w:val="22"/>
        </w:rPr>
        <w:t>(a) Từ khóa đơn lẻ (Config_B) gần mức ngẫu nhiên: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toán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 Config_B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0.4756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0.5048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0.4935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0.4926</w:t>
            </w:r>
          </w:p>
        </w:tc>
      </w:tr>
    </w:tbl>
    <w:p>
      <w:pPr>
        <w:pStyle w:val="ListBullet"/>
      </w:pPr>
      <w:r>
        <w:t>BA Config_B chỉ quanh 0,49–0,52 (≈ đoán ngẫu nhiên 0,50) → bác bỏ H2 ở cấp độ quý.</w:t>
      </w:r>
    </w:p>
    <w:p>
      <w:r>
        <w:rPr>
          <w:b/>
          <w:sz w:val="22"/>
        </w:rPr>
        <w:t>(b) Kết hợp (Config_C) không nâng — thậm chí giảm: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Thuật toán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 Config_A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 Config_C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Δ(C−A)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+0.0187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Trung bình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+0.0027</w:t>
            </w:r>
          </w:p>
        </w:tc>
      </w:tr>
    </w:tbl>
    <w:p>
      <w:pPr>
        <w:pStyle w:val="ListBullet"/>
      </w:pPr>
      <w:r>
        <w:t>Δ(C−A) trung bình +0,0027 (gần 0). Với LightGBM (mô hình mạnh nhất), kết hợp từ khóa còn làm giảm BA → không ủng hộ H1.</w:t>
      </w:r>
    </w:p>
    <w:p>
      <w:r>
        <w:rPr>
          <w:b/>
          <w:sz w:val="22"/>
        </w:rPr>
        <w:t>(c) Khác biệt không có ý nghĩa thống kê (McNemar):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Kiểm định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Δ(C−A)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Kết luận (α=0,05)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Random Forest, độ chi tiết tháng (297 mẫu)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−0,0303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0,1742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có 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Random Forest, độ chi tiết 2 tháng (150 mẫu)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−0,0325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0,1797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có 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Config_C mới vs Config_C baseline (400 mẫu)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0,5601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có ý nghĩa</w:t>
            </w:r>
          </w:p>
        </w:tc>
      </w:tr>
    </w:tbl>
    <w:p>
      <w:r>
        <w:rPr>
          <w:b w:val="0"/>
          <w:sz w:val="22"/>
        </w:rPr>
        <w:t>(d) SHAP xác nhận từ khóa đóng góp không đáng kể trong Config_C: đặc trưng từ khóa có mean|SHAP| cao nhất chỉ ~0,007 (tăng trưởng, nợ xấu, báo lãi, chia cổ tức, tăng vốn điều lệ), trong khi rsi_end_q đạt 1,67 — chênh ~240 lần. Nhiều từ khóa có SHAP = 0 do thưa/hiếm xuất hiện.</w:t>
      </w:r>
    </w:p>
    <w:p>
      <w:pPr>
        <w:pStyle w:val="Heading2"/>
      </w:pPr>
      <w:r>
        <w:rPr>
          <w:color w:val="1F4E79"/>
        </w:rPr>
        <w:t>B.4. Ba giải thích lý thuyết cho kết quả âm</w:t>
      </w:r>
    </w:p>
    <w:p>
      <w:pPr>
        <w:pStyle w:val="ListBullet"/>
      </w:pPr>
      <w:r>
        <w:t>Thị trường hiệu quả dạng vừa (semi-strong EMH): tin công khai phản ánh nhanh vào giá, đặc trưng tin khó thêm thông tin vượt trên kỹ thuật.</w:t>
      </w:r>
    </w:p>
    <w:p>
      <w:pPr>
        <w:pStyle w:val="ListBullet"/>
      </w:pPr>
      <w:r>
        <w:t>Hấp thụ trong kỳ (within-period absorption): ở độ chi tiết quý, phản ứng giá với tin xảy ra và tan biến ngay trong kỳ; tổng hợp theo quý làm mờ tín hiệu ngắn hạn.</w:t>
      </w:r>
    </w:p>
    <w:p>
      <w:pPr>
        <w:pStyle w:val="ListBullet"/>
      </w:pPr>
      <w:r>
        <w:t>Giới hạn corpus: số bài tin tiếng Việt mỗi (ticker, quý) có thể quá nhỏ để ước lượng ổn định tín hiệu văn bản, làm tăng nhiễu và kéo Δ(C−A) về 0.</w:t>
      </w:r>
    </w:p>
    <w:p>
      <w:pPr>
        <w:pStyle w:val="Heading2"/>
      </w:pPr>
      <w:r>
        <w:rPr>
          <w:color w:val="1F4E79"/>
        </w:rPr>
        <w:t>B.5. H3 và định hướng</w:t>
      </w:r>
    </w:p>
    <w:p>
      <w:r>
        <w:rPr>
          <w:b w:val="0"/>
          <w:sz w:val="22"/>
        </w:rPr>
        <w:t>Kết quả toàn cục bác bỏ H1, H2 ở cấp độ quý. H3 (tín hiệu văn bản có điều kiện) chưa bị bác bỏ: cần phân tích ở độ chi tiết cao hơn (cấp bài viết, period nhỏ hơn) và theo phân khúc (mật độ tin, ngành). Đây là định hướng nghiên cứu tương lai.</w:t>
      </w:r>
    </w:p>
    <w:p>
      <w:pPr>
        <w:pStyle w:val="Heading1"/>
      </w:pPr>
      <w:r>
        <w:rPr>
          <w:color w:val="1F4E79"/>
        </w:rPr>
        <w:t>Phần C — Thông điệp tổng hợp cho hội đồng</w:t>
      </w:r>
    </w:p>
    <w:p>
      <w:pPr>
        <w:pStyle w:val="ListBullet"/>
      </w:pPr>
      <w:r>
        <w:t>Trụ đóng góp dương (kỹ thuật): mô hình dự báo chính xác (BA ≈ 0,76; AUC ≈ 0,82) và tạo giá trị đầu tư thực (LN net 60,3% vs 25,4%; Sharpe 1,05 vs 0,45; drawdown gần 0; ổn định qua 3 cutoff; đã kiểm toán chống rò rỉ).</w:t>
      </w:r>
    </w:p>
    <w:p>
      <w:pPr>
        <w:pStyle w:val="ListBullet"/>
      </w:pPr>
      <w:r>
        <w:t>Trụ khám phá (văn bản/từ khóa): kết hợp từ khóa không cải thiện dự báo ở cấp độ quý (Δ trung bình +0,003, không có ý nghĩa thống kê; từ khóa đơn lẻ ≈ ngẫu nhiên; SHAP từ khóa nhỏ hơn kỹ thuật ~240 lần). Kết quả âm có giá trị khoa học.</w:t>
      </w:r>
    </w:p>
    <w:p>
      <w:pPr>
        <w:pStyle w:val="ListBullet"/>
      </w:pPr>
      <w:r>
        <w:t>Giới hạn: backtest theo quý (T+2/±7%/lô 100 là giả định nền), bỏ qua trượt giá; phụ thuộc 80 mã HOSE và khoảng test; ưu thế co lại ở 2025Q3. Lợi nhuận quá khứ không đảm bảo tương lai — phục vụ học thuật, không phải khuyến nghị đầu tư.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