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LLM-AUGMENTED CONTRASTIVE LEARNING FOR MISINFORMATION DETECTION IN SOCIAL NETWORKS</w:t>
      </w:r>
    </w:p>
    <w:p>
      <w:pPr>
        <w:jc w:val="center"/>
      </w:pPr>
      <w:r>
        <w:t>Project report in partial fulfillment of the requirement for the award of the degree of Bachelor of Technology</w:t>
      </w:r>
    </w:p>
    <w:p>
      <w:pPr>
        <w:jc w:val="center"/>
      </w:pPr>
      <w:r>
        <w:t>In Computer Science and Engineering (Internet of Things, Cyber Security, Blockchain Technology)</w:t>
      </w:r>
    </w:p>
    <w:p>
      <w:r>
        <w:br/>
        <w:t>Submitted By:</w:t>
      </w:r>
    </w:p>
    <w:p>
      <w:r>
        <w:t>Faishal Abrar - Enrolment No. 12023002029050</w:t>
      </w:r>
    </w:p>
    <w:p>
      <w:r>
        <w:t>Kislay Bhardwaj - Enrolment No. 12023002029042</w:t>
      </w:r>
    </w:p>
    <w:p>
      <w:r>
        <w:t>Debrup Chakraborty - Enrolment No. 12023002029041</w:t>
      </w:r>
    </w:p>
    <w:p>
      <w:r>
        <w:t>Adrija Pal - Enrolment No. 12023002029008</w:t>
      </w:r>
    </w:p>
    <w:p>
      <w:r>
        <w:t>Arunavo Bhowal - Enrolment No. 12023002029023</w:t>
      </w:r>
    </w:p>
    <w:p>
      <w:r>
        <w:t>Imon Chakraborty - Enrolment No. 12023002029055</w:t>
      </w:r>
    </w:p>
    <w:p>
      <w:r>
        <w:t>Gairick Purakayastha - Enrolment No. 12023002029127</w:t>
      </w:r>
    </w:p>
    <w:p>
      <w:r>
        <w:t>Subhradwip Das - Enrolment No. 12023002029147</w:t>
      </w:r>
    </w:p>
    <w:p>
      <w:r>
        <w:br/>
        <w:t>Under the guidance of: Prof. Sangita Dutta and Prof. Dr. Arijeet Ghosh</w:t>
      </w:r>
    </w:p>
    <w:p>
      <w:r>
        <w:t>University of Engineering &amp; Management, Kolkata</w:t>
      </w:r>
    </w:p>
    <w:p>
      <w:r>
        <w:t>University Area, Plot No. III-B/5, New Town, Action Area-III, Kolkata-700160</w:t>
      </w:r>
    </w:p>
    <w:p>
      <w:r>
        <w:br w:type="page"/>
      </w:r>
    </w:p>
    <w:p>
      <w:pPr>
        <w:pStyle w:val="Heading1"/>
      </w:pPr>
      <w:r>
        <w:t>Abstract</w:t>
      </w:r>
    </w:p>
    <w:p>
      <w:r>
        <w:t>The spread of misinformation on social networks has become a major threat to public trust, elections, healthcare communication, and crisis response. This report presents a complete misinformation detection framework based on LLM-Augmented Contrastive Learning (LACL), improved with two reliability modules: emotion-aware augmentation filtering and fact verification. The pipeline first unifies heterogeneous rumor datasets, then generates controlled text augmentation, filters low-quality samples using emotion consistency, trains a contrastive + classification model, and finally evaluates with optional fact verification. Unlike baseline LACL implementations that rely primarily on semantic similarity, our pipeline preserves emotional signal quality and enables factual grounding during final-stage verification. Experimental analysis indicates stronger class separation, improved robustness for rumor classes, and better interpretability through structured output artifacts and visual performance dashboards. The proposed architecture is modular, scalable, and suitable for future multimodal and real-time misinformation detection extensions.</w:t>
      </w:r>
    </w:p>
    <w:p>
      <w:pPr>
        <w:pStyle w:val="Heading1"/>
      </w:pPr>
      <w:r>
        <w:t>Introduction</w:t>
      </w:r>
    </w:p>
    <w:p>
      <w:r>
        <w:t>Social media platforms provide extremely fast information flow, but the same speed also amplifies false and misleading narratives. Automated misinformation detection therefore requires models that can understand semantics, emotional framing, and factual reliability.</w:t>
      </w:r>
    </w:p>
    <w:p>
      <w:r>
        <w:t>Recent LLM-based augmentation methods improve data diversity for low-resource classes, but naive augmentation may distort emotional tone and reduce contrastive-learning quality. In misinformation tasks, emotional cues such as urgency, fear, and outrage are often discriminative, so preserving them is critical.</w:t>
      </w:r>
    </w:p>
    <w:p>
      <w:r>
        <w:t>This project builds a practical end-to-end framework: dataset unification, augmentation, emotion filtering, contrastive learning, and final evaluation with optional fact verification. The goal is to improve both model quality and reliability in deployment-oriented workflows.</w:t>
      </w:r>
    </w:p>
    <w:p>
      <w:pPr>
        <w:pStyle w:val="Heading1"/>
      </w:pPr>
      <w:r>
        <w:t>Literature Survey</w:t>
      </w:r>
    </w:p>
    <w:p>
      <w:pPr>
        <w:pStyle w:val="ListBullet"/>
      </w:pPr>
      <w:r>
        <w:t>Shen et al. (IEEE TCSS, 2026): Introduced LLM-Augmented Contrastive Learning for misinformation detection and demonstrated stronger representation learning through high-quality augmentation.</w:t>
      </w:r>
    </w:p>
    <w:p>
      <w:pPr>
        <w:pStyle w:val="ListBullet"/>
      </w:pPr>
      <w:r>
        <w:t>Liu et al. (AAAI, 2018): Showed early fake-news detection using propagation paths, but dependence on graph/temporal propagation signals limits immediate portability.</w:t>
      </w:r>
    </w:p>
    <w:p>
      <w:pPr>
        <w:pStyle w:val="ListBullet"/>
      </w:pPr>
      <w:r>
        <w:t>Chen et al. (ICML, 2020): Established SimCLR principles and emphasized that representation quality strongly depends on augmentation quality.</w:t>
      </w:r>
    </w:p>
    <w:p>
      <w:pPr>
        <w:pStyle w:val="ListBullet"/>
      </w:pPr>
      <w:r>
        <w:t>Feng et al. (ICDM, 2022): Proposed graph contrastive rumor detection with structural strengths, but less emphasis on emotional text consistency.</w:t>
      </w:r>
    </w:p>
    <w:p>
      <w:pPr>
        <w:pStyle w:val="ListBullet"/>
      </w:pPr>
      <w:r>
        <w:t>Hu et al. (CIKM, 2023): Used LLMs for multi-perspective reasoning and interpretability, highlighting opportunities for stronger grounding and tighter integration.</w:t>
      </w:r>
    </w:p>
    <w:p>
      <w:pPr>
        <w:pStyle w:val="Heading1"/>
      </w:pPr>
      <w:r>
        <w:t>Research Gap</w:t>
      </w:r>
    </w:p>
    <w:p>
      <w:pPr>
        <w:pStyle w:val="ListBullet"/>
      </w:pPr>
      <w:r>
        <w:t>Most LACL-style systems prioritize semantic consistency but do not explicitly enforce emotional consistency between original and augmented samples.</w:t>
      </w:r>
    </w:p>
    <w:p>
      <w:pPr>
        <w:pStyle w:val="ListBullet"/>
      </w:pPr>
      <w:r>
        <w:t>Fact grounding is often missing during final predictions, making systems vulnerable to fluent but unsupported outputs.</w:t>
      </w:r>
    </w:p>
    <w:p>
      <w:pPr>
        <w:pStyle w:val="ListBullet"/>
      </w:pPr>
      <w:r>
        <w:t>Many pipelines are not designed as reusable, production-friendly workflows with clear stage outputs and diagnostics.</w:t>
      </w:r>
    </w:p>
    <w:p>
      <w:pPr>
        <w:pStyle w:val="Heading1"/>
      </w:pPr>
      <w:r>
        <w:t>Proposed Methodology</w:t>
      </w:r>
    </w:p>
    <w:p>
      <w:pPr>
        <w:pStyle w:val="ListNumber"/>
      </w:pPr>
      <w:r>
        <w:t>Stage 1 - Data Unification: The pipeline ingests Twitter, PHEME, and RumourEval style sources and normalizes schema, labels, and metadata into a single JSONL format.</w:t>
      </w:r>
    </w:p>
    <w:p>
      <w:pPr>
        <w:pStyle w:val="ListNumber"/>
      </w:pPr>
      <w:r>
        <w:t>Stage 2 - LLM Augmentation: Controlled prompt-based augmentation generates semantically related text variants to improve coverage and reduce class imbalance.</w:t>
      </w:r>
    </w:p>
    <w:p>
      <w:pPr>
        <w:pStyle w:val="ListNumber"/>
      </w:pPr>
      <w:r>
        <w:t>Stage 3 - Emotion Filtering: Augmented samples are scored against source emotion profiles and filtered by similarity thresholds to remove emotionally inconsistent pairs.</w:t>
      </w:r>
    </w:p>
    <w:p>
      <w:pPr>
        <w:pStyle w:val="ListNumber"/>
      </w:pPr>
      <w:r>
        <w:t>Stage 4 - Contrastive + Classifier Training: A BERT encoder with projection head is trained using contrastive objectives, followed by supervised classification.</w:t>
      </w:r>
    </w:p>
    <w:p>
      <w:pPr>
        <w:pStyle w:val="ListNumber"/>
      </w:pPr>
      <w:r>
        <w:t>Stage 5 - Final Evaluation: Live CL inference outputs baseline predictions. Optional fact verification then refines rumor-class decisions through either Gemini+Wikipedia flow or Wikipedia-only mode.</w:t>
      </w:r>
    </w:p>
    <w:p>
      <w:pPr>
        <w:pStyle w:val="ListNumber"/>
      </w:pPr>
      <w:r>
        <w:t>Stage 6 - Reporting and Visualization: Metrics, class reports, and dedicated matplotlib plots (bar, line, support, and heatmap) are generated for analysis and presentation.</w:t>
      </w:r>
    </w:p>
    <w:p>
      <w:pPr>
        <w:pStyle w:val="Heading1"/>
      </w:pPr>
      <w:r>
        <w:t>Result and Analysis</w:t>
      </w:r>
    </w:p>
    <w:p>
      <w:r>
        <w:t>Test Accuracy: 0.8678</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F1-Score</w:t>
            </w:r>
          </w:p>
        </w:tc>
        <w:tc>
          <w:tcPr>
            <w:tcW w:type="dxa" w:w="1728"/>
          </w:tcPr>
          <w:p>
            <w:r>
              <w:t>Support</w:t>
            </w:r>
          </w:p>
        </w:tc>
      </w:tr>
      <w:tr>
        <w:tc>
          <w:tcPr>
            <w:tcW w:type="dxa" w:w="1728"/>
          </w:tcPr>
          <w:p>
            <w:r>
              <w:t>false</w:t>
            </w:r>
          </w:p>
        </w:tc>
        <w:tc>
          <w:tcPr>
            <w:tcW w:type="dxa" w:w="1728"/>
          </w:tcPr>
          <w:p>
            <w:r>
              <w:t>0.8421</w:t>
            </w:r>
          </w:p>
        </w:tc>
        <w:tc>
          <w:tcPr>
            <w:tcW w:type="dxa" w:w="1728"/>
          </w:tcPr>
          <w:p>
            <w:r>
              <w:t>0.8016</w:t>
            </w:r>
          </w:p>
        </w:tc>
        <w:tc>
          <w:tcPr>
            <w:tcW w:type="dxa" w:w="1728"/>
          </w:tcPr>
          <w:p>
            <w:r>
              <w:t>0.8213</w:t>
            </w:r>
          </w:p>
        </w:tc>
        <w:tc>
          <w:tcPr>
            <w:tcW w:type="dxa" w:w="1728"/>
          </w:tcPr>
          <w:p>
            <w:r>
              <w:t>251</w:t>
            </w:r>
          </w:p>
        </w:tc>
      </w:tr>
      <w:tr>
        <w:tc>
          <w:tcPr>
            <w:tcW w:type="dxa" w:w="1728"/>
          </w:tcPr>
          <w:p>
            <w:r>
              <w:t>non-rumor</w:t>
            </w:r>
          </w:p>
        </w:tc>
        <w:tc>
          <w:tcPr>
            <w:tcW w:type="dxa" w:w="1728"/>
          </w:tcPr>
          <w:p>
            <w:r>
              <w:t>0.9015</w:t>
            </w:r>
          </w:p>
        </w:tc>
        <w:tc>
          <w:tcPr>
            <w:tcW w:type="dxa" w:w="1728"/>
          </w:tcPr>
          <w:p>
            <w:r>
              <w:t>0.9457</w:t>
            </w:r>
          </w:p>
        </w:tc>
        <w:tc>
          <w:tcPr>
            <w:tcW w:type="dxa" w:w="1728"/>
          </w:tcPr>
          <w:p>
            <w:r>
              <w:t>0.9231</w:t>
            </w:r>
          </w:p>
        </w:tc>
        <w:tc>
          <w:tcPr>
            <w:tcW w:type="dxa" w:w="1728"/>
          </w:tcPr>
          <w:p>
            <w:r>
              <w:t>920</w:t>
            </w:r>
          </w:p>
        </w:tc>
      </w:tr>
      <w:tr>
        <w:tc>
          <w:tcPr>
            <w:tcW w:type="dxa" w:w="1728"/>
          </w:tcPr>
          <w:p>
            <w:r>
              <w:t>true</w:t>
            </w:r>
          </w:p>
        </w:tc>
        <w:tc>
          <w:tcPr>
            <w:tcW w:type="dxa" w:w="1728"/>
          </w:tcPr>
          <w:p>
            <w:r>
              <w:t>0.8364</w:t>
            </w:r>
          </w:p>
        </w:tc>
        <w:tc>
          <w:tcPr>
            <w:tcW w:type="dxa" w:w="1728"/>
          </w:tcPr>
          <w:p>
            <w:r>
              <w:t>0.8179</w:t>
            </w:r>
          </w:p>
        </w:tc>
        <w:tc>
          <w:tcPr>
            <w:tcW w:type="dxa" w:w="1728"/>
          </w:tcPr>
          <w:p>
            <w:r>
              <w:t>0.8270</w:t>
            </w:r>
          </w:p>
        </w:tc>
        <w:tc>
          <w:tcPr>
            <w:tcW w:type="dxa" w:w="1728"/>
          </w:tcPr>
          <w:p>
            <w:r>
              <w:t>335</w:t>
            </w:r>
          </w:p>
        </w:tc>
      </w:tr>
      <w:tr>
        <w:tc>
          <w:tcPr>
            <w:tcW w:type="dxa" w:w="1728"/>
          </w:tcPr>
          <w:p>
            <w:r>
              <w:t>unverified</w:t>
            </w:r>
          </w:p>
        </w:tc>
        <w:tc>
          <w:tcPr>
            <w:tcW w:type="dxa" w:w="1728"/>
          </w:tcPr>
          <w:p>
            <w:r>
              <w:t>0.8296</w:t>
            </w:r>
          </w:p>
        </w:tc>
        <w:tc>
          <w:tcPr>
            <w:tcW w:type="dxa" w:w="1728"/>
          </w:tcPr>
          <w:p>
            <w:r>
              <w:t>0.7817</w:t>
            </w:r>
          </w:p>
        </w:tc>
        <w:tc>
          <w:tcPr>
            <w:tcW w:type="dxa" w:w="1728"/>
          </w:tcPr>
          <w:p>
            <w:r>
              <w:t>0.8049</w:t>
            </w:r>
          </w:p>
        </w:tc>
        <w:tc>
          <w:tcPr>
            <w:tcW w:type="dxa" w:w="1728"/>
          </w:tcPr>
          <w:p>
            <w:r>
              <w:t>257</w:t>
            </w:r>
          </w:p>
        </w:tc>
      </w:tr>
      <w:tr>
        <w:tc>
          <w:tcPr>
            <w:tcW w:type="dxa" w:w="1728"/>
          </w:tcPr>
          <w:p>
            <w:r>
              <w:t>Accuracy</w:t>
            </w:r>
          </w:p>
        </w:tc>
        <w:tc>
          <w:tcPr>
            <w:tcW w:type="dxa" w:w="1728"/>
          </w:tcPr>
          <w:p/>
        </w:tc>
        <w:tc>
          <w:tcPr>
            <w:tcW w:type="dxa" w:w="1728"/>
          </w:tcPr>
          <w:p/>
        </w:tc>
        <w:tc>
          <w:tcPr>
            <w:tcW w:type="dxa" w:w="1728"/>
          </w:tcPr>
          <w:p>
            <w:r>
              <w:t>0.8678</w:t>
            </w:r>
          </w:p>
        </w:tc>
        <w:tc>
          <w:tcPr>
            <w:tcW w:type="dxa" w:w="1728"/>
          </w:tcPr>
          <w:p>
            <w:r>
              <w:t>1763</w:t>
            </w:r>
          </w:p>
        </w:tc>
      </w:tr>
      <w:tr>
        <w:tc>
          <w:tcPr>
            <w:tcW w:type="dxa" w:w="1728"/>
          </w:tcPr>
          <w:p>
            <w:r>
              <w:t>Macro Avg</w:t>
            </w:r>
          </w:p>
        </w:tc>
        <w:tc>
          <w:tcPr>
            <w:tcW w:type="dxa" w:w="1728"/>
          </w:tcPr>
          <w:p>
            <w:r>
              <w:t>0.8524</w:t>
            </w:r>
          </w:p>
        </w:tc>
        <w:tc>
          <w:tcPr>
            <w:tcW w:type="dxa" w:w="1728"/>
          </w:tcPr>
          <w:p>
            <w:r>
              <w:t>0.8367</w:t>
            </w:r>
          </w:p>
        </w:tc>
        <w:tc>
          <w:tcPr>
            <w:tcW w:type="dxa" w:w="1728"/>
          </w:tcPr>
          <w:p>
            <w:r>
              <w:t>0.8441</w:t>
            </w:r>
          </w:p>
        </w:tc>
        <w:tc>
          <w:tcPr>
            <w:tcW w:type="dxa" w:w="1728"/>
          </w:tcPr>
          <w:p>
            <w:r>
              <w:t>1763</w:t>
            </w:r>
          </w:p>
        </w:tc>
      </w:tr>
      <w:tr>
        <w:tc>
          <w:tcPr>
            <w:tcW w:type="dxa" w:w="1728"/>
          </w:tcPr>
          <w:p>
            <w:r>
              <w:t>Weighted Avg</w:t>
            </w:r>
          </w:p>
        </w:tc>
        <w:tc>
          <w:tcPr>
            <w:tcW w:type="dxa" w:w="1728"/>
          </w:tcPr>
          <w:p>
            <w:r>
              <w:t>0.8659</w:t>
            </w:r>
          </w:p>
        </w:tc>
        <w:tc>
          <w:tcPr>
            <w:tcW w:type="dxa" w:w="1728"/>
          </w:tcPr>
          <w:p>
            <w:r>
              <w:t>0.8678</w:t>
            </w:r>
          </w:p>
        </w:tc>
        <w:tc>
          <w:tcPr>
            <w:tcW w:type="dxa" w:w="1728"/>
          </w:tcPr>
          <w:p>
            <w:r>
              <w:t>0.8665</w:t>
            </w:r>
          </w:p>
        </w:tc>
        <w:tc>
          <w:tcPr>
            <w:tcW w:type="dxa" w:w="1728"/>
          </w:tcPr>
          <w:p>
            <w:r>
              <w:t>1763</w:t>
            </w:r>
          </w:p>
        </w:tc>
      </w:tr>
    </w:tbl>
    <w:p>
      <w:r>
        <w:br/>
        <w:t>Performance Visualizations:</w:t>
      </w:r>
    </w:p>
    <w:p>
      <w:r>
        <w:t>Class Metrics Bar</w:t>
      </w:r>
    </w:p>
    <w:p>
      <w:r>
        <w:drawing>
          <wp:inline xmlns:a="http://schemas.openxmlformats.org/drawingml/2006/main" xmlns:pic="http://schemas.openxmlformats.org/drawingml/2006/picture">
            <wp:extent cx="5486400" cy="3267635"/>
            <wp:docPr id="1" name="Picture 1"/>
            <wp:cNvGraphicFramePr>
              <a:graphicFrameLocks noChangeAspect="1"/>
            </wp:cNvGraphicFramePr>
            <a:graphic>
              <a:graphicData uri="http://schemas.openxmlformats.org/drawingml/2006/picture">
                <pic:pic>
                  <pic:nvPicPr>
                    <pic:cNvPr id="0" name="class_metrics_bar.png"/>
                    <pic:cNvPicPr/>
                  </pic:nvPicPr>
                  <pic:blipFill>
                    <a:blip r:embed="rId9"/>
                    <a:stretch>
                      <a:fillRect/>
                    </a:stretch>
                  </pic:blipFill>
                  <pic:spPr>
                    <a:xfrm>
                      <a:off x="0" y="0"/>
                      <a:ext cx="5486400" cy="3267635"/>
                    </a:xfrm>
                    <a:prstGeom prst="rect"/>
                  </pic:spPr>
                </pic:pic>
              </a:graphicData>
            </a:graphic>
          </wp:inline>
        </w:drawing>
      </w:r>
    </w:p>
    <w:p>
      <w:r>
        <w:t>Class Support Bar</w:t>
      </w:r>
    </w:p>
    <w:p>
      <w:r>
        <w:drawing>
          <wp:inline xmlns:a="http://schemas.openxmlformats.org/drawingml/2006/main" xmlns:pic="http://schemas.openxmlformats.org/drawingml/2006/picture">
            <wp:extent cx="5486400" cy="3267635"/>
            <wp:docPr id="2" name="Picture 2"/>
            <wp:cNvGraphicFramePr>
              <a:graphicFrameLocks noChangeAspect="1"/>
            </wp:cNvGraphicFramePr>
            <a:graphic>
              <a:graphicData uri="http://schemas.openxmlformats.org/drawingml/2006/picture">
                <pic:pic>
                  <pic:nvPicPr>
                    <pic:cNvPr id="0" name="class_support_bar.png"/>
                    <pic:cNvPicPr/>
                  </pic:nvPicPr>
                  <pic:blipFill>
                    <a:blip r:embed="rId10"/>
                    <a:stretch>
                      <a:fillRect/>
                    </a:stretch>
                  </pic:blipFill>
                  <pic:spPr>
                    <a:xfrm>
                      <a:off x="0" y="0"/>
                      <a:ext cx="5486400" cy="3267635"/>
                    </a:xfrm>
                    <a:prstGeom prst="rect"/>
                  </pic:spPr>
                </pic:pic>
              </a:graphicData>
            </a:graphic>
          </wp:inline>
        </w:drawing>
      </w:r>
    </w:p>
    <w:p>
      <w:r>
        <w:t>Summary Metrics Bar</w:t>
      </w:r>
    </w:p>
    <w:p>
      <w:r>
        <w:drawing>
          <wp:inline xmlns:a="http://schemas.openxmlformats.org/drawingml/2006/main" xmlns:pic="http://schemas.openxmlformats.org/drawingml/2006/picture">
            <wp:extent cx="5486400" cy="2967602"/>
            <wp:docPr id="3" name="Picture 3"/>
            <wp:cNvGraphicFramePr>
              <a:graphicFrameLocks noChangeAspect="1"/>
            </wp:cNvGraphicFramePr>
            <a:graphic>
              <a:graphicData uri="http://schemas.openxmlformats.org/drawingml/2006/picture">
                <pic:pic>
                  <pic:nvPicPr>
                    <pic:cNvPr id="0" name="summary_metrics_bar.png"/>
                    <pic:cNvPicPr/>
                  </pic:nvPicPr>
                  <pic:blipFill>
                    <a:blip r:embed="rId11"/>
                    <a:stretch>
                      <a:fillRect/>
                    </a:stretch>
                  </pic:blipFill>
                  <pic:spPr>
                    <a:xfrm>
                      <a:off x="0" y="0"/>
                      <a:ext cx="5486400" cy="2967602"/>
                    </a:xfrm>
                    <a:prstGeom prst="rect"/>
                  </pic:spPr>
                </pic:pic>
              </a:graphicData>
            </a:graphic>
          </wp:inline>
        </w:drawing>
      </w:r>
    </w:p>
    <w:p>
      <w:r>
        <w:t>Class Metrics Line</w:t>
      </w:r>
    </w:p>
    <w:p>
      <w:r>
        <w:drawing>
          <wp:inline xmlns:a="http://schemas.openxmlformats.org/drawingml/2006/main" xmlns:pic="http://schemas.openxmlformats.org/drawingml/2006/picture">
            <wp:extent cx="5486400" cy="3267635"/>
            <wp:docPr id="4" name="Picture 4"/>
            <wp:cNvGraphicFramePr>
              <a:graphicFrameLocks noChangeAspect="1"/>
            </wp:cNvGraphicFramePr>
            <a:graphic>
              <a:graphicData uri="http://schemas.openxmlformats.org/drawingml/2006/picture">
                <pic:pic>
                  <pic:nvPicPr>
                    <pic:cNvPr id="0" name="class_metrics_line.png"/>
                    <pic:cNvPicPr/>
                  </pic:nvPicPr>
                  <pic:blipFill>
                    <a:blip r:embed="rId12"/>
                    <a:stretch>
                      <a:fillRect/>
                    </a:stretch>
                  </pic:blipFill>
                  <pic:spPr>
                    <a:xfrm>
                      <a:off x="0" y="0"/>
                      <a:ext cx="5486400" cy="3267635"/>
                    </a:xfrm>
                    <a:prstGeom prst="rect"/>
                  </pic:spPr>
                </pic:pic>
              </a:graphicData>
            </a:graphic>
          </wp:inline>
        </w:drawing>
      </w:r>
    </w:p>
    <w:p>
      <w:r>
        <w:t>Polished Heatmap</w:t>
      </w:r>
    </w:p>
    <w:p>
      <w:r>
        <w:drawing>
          <wp:inline xmlns:a="http://schemas.openxmlformats.org/drawingml/2006/main" xmlns:pic="http://schemas.openxmlformats.org/drawingml/2006/picture">
            <wp:extent cx="5486400" cy="3523117"/>
            <wp:docPr id="5" name="Picture 5"/>
            <wp:cNvGraphicFramePr>
              <a:graphicFrameLocks noChangeAspect="1"/>
            </wp:cNvGraphicFramePr>
            <a:graphic>
              <a:graphicData uri="http://schemas.openxmlformats.org/drawingml/2006/picture">
                <pic:pic>
                  <pic:nvPicPr>
                    <pic:cNvPr id="0" name="classification_heatmap_polished.png"/>
                    <pic:cNvPicPr/>
                  </pic:nvPicPr>
                  <pic:blipFill>
                    <a:blip r:embed="rId13"/>
                    <a:stretch>
                      <a:fillRect/>
                    </a:stretch>
                  </pic:blipFill>
                  <pic:spPr>
                    <a:xfrm>
                      <a:off x="0" y="0"/>
                      <a:ext cx="5486400" cy="3523117"/>
                    </a:xfrm>
                    <a:prstGeom prst="rect"/>
                  </pic:spPr>
                </pic:pic>
              </a:graphicData>
            </a:graphic>
          </wp:inline>
        </w:drawing>
      </w:r>
    </w:p>
    <w:p>
      <w:pPr>
        <w:pStyle w:val="Heading1"/>
      </w:pPr>
      <w:r>
        <w:t>Conclusion and Future Scope</w:t>
      </w:r>
    </w:p>
    <w:p>
      <w:pPr>
        <w:pStyle w:val="ListBullet"/>
      </w:pPr>
      <w:r>
        <w:t>The completed framework improves practical misinformation detection by combining semantic learning, emotional consistency, and factual validation in one pipeline.</w:t>
      </w:r>
    </w:p>
    <w:p>
      <w:pPr>
        <w:pStyle w:val="ListBullet"/>
      </w:pPr>
      <w:r>
        <w:t>Compared to purely semantic augmentation workflows, emotion filtering improves training pair quality and supports stronger rumor-class behavior.</w:t>
      </w:r>
    </w:p>
    <w:p>
      <w:pPr>
        <w:pStyle w:val="ListBullet"/>
      </w:pPr>
      <w:r>
        <w:t>The final evaluation design is deployment-friendly: baseline-only mode and fact-verification-enabled mode can be toggled via CLI without changing code.</w:t>
      </w:r>
    </w:p>
    <w:p>
      <w:pPr>
        <w:pStyle w:val="ListBullet"/>
      </w:pPr>
      <w:r>
        <w:t>Future work should include multimodal rumor evidence (image/video), retrieval-augmented factual grounding from multiple trusted sources, and latency optimization for real-time monitoring.</w:t>
      </w:r>
    </w:p>
    <w:p>
      <w:pPr>
        <w:pStyle w:val="Heading1"/>
      </w:pPr>
      <w:r>
        <w:t>References</w:t>
      </w:r>
    </w:p>
    <w:p>
      <w:pPr>
        <w:pStyle w:val="ListNumber"/>
      </w:pPr>
      <w:r>
        <w:t>S. Vosoughi, D. Roy, and S. Aral, 'The spread of true and false news online,' Science, 2018.</w:t>
      </w:r>
    </w:p>
    <w:p>
      <w:pPr>
        <w:pStyle w:val="ListNumber"/>
      </w:pPr>
      <w:r>
        <w:t>K. Shu et al., 'Fake news detection on social media: A data mining perspective,' ACM SIGKDD Explorations, 2017.</w:t>
      </w:r>
    </w:p>
    <w:p>
      <w:pPr>
        <w:pStyle w:val="ListNumber"/>
      </w:pPr>
      <w:r>
        <w:t>H. Shen et al., 'LLM-Augmented Contrastive Learning for Misinformation Detection in Social Networks,' IEEE TCSS, 2026.</w:t>
      </w:r>
    </w:p>
    <w:p>
      <w:pPr>
        <w:pStyle w:val="ListNumber"/>
      </w:pPr>
      <w:r>
        <w:t>T. Chen et al., 'A Simple Framework for Contrastive Learning of Visual Representations,' ICML, 2020.</w:t>
      </w:r>
    </w:p>
    <w:p>
      <w:pPr>
        <w:pStyle w:val="ListNumber"/>
      </w:pPr>
      <w:r>
        <w:t>X. Feng et al., 'Bi-Level Graph Contrastive Learning for Rumor Detection,' ICDM, 2022.</w:t>
      </w:r>
    </w:p>
    <w:p>
      <w:pPr>
        <w:pStyle w:val="ListNumber"/>
      </w:pPr>
      <w:r>
        <w:t>X. Hu et al., 'Leveraging Large Language Models for Fake News Detection via Multi-Perspective Reasoning,' CIKM,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