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Lấy một ví dụ cụ thể, hãy xem xét</w:t>
      </w:r>
      <w:r>
        <w:t xml:space="preserve"> </w:t>
      </w:r>
      <w:r>
        <w:rPr>
          <w:b/>
          <w:bCs/>
        </w:rPr>
        <w:t xml:space="preserve">cơ sở dữ liệu giao dịch</w:t>
      </w:r>
      <w:r>
        <w:t xml:space="preserve"> </w:t>
      </w:r>
      <w:r>
        <w:t xml:space="preserve">trong Bảng 1 và</w:t>
      </w:r>
      <w:r>
        <w:t xml:space="preserve"> </w:t>
      </w:r>
      <w:r>
        <w:rPr>
          <w:b/>
          <w:bCs/>
        </w:rPr>
        <w:t xml:space="preserve">bảng lợi nhuận</w:t>
      </w:r>
      <w:r>
        <w:t xml:space="preserve"> </w:t>
      </w:r>
      <w:r>
        <w:t xml:space="preserve">trong Bảng 2. Để tiện lợi, một tập mục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  <w:r>
        <w:t xml:space="preserve">được ký hiệu là</w:t>
      </w:r>
      <w:r>
        <w:t xml:space="preserve"> </w:t>
      </w:r>
      <w:r>
        <w:rPr>
          <w:b/>
          <w:bCs/>
        </w:rPr>
        <w:t xml:space="preserve">BE</w:t>
      </w:r>
      <w:r>
        <w:t xml:space="preserve">.</w:t>
      </w:r>
    </w:p>
    <w:p>
      <w:pPr>
        <w:pStyle w:val="BodyText"/>
      </w:pPr>
      <w:r>
        <w:t xml:space="preserve">Utility của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được tính như sau: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×</m:t>
          </m:r>
          <m:r>
            <m:t>1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Utility của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được tính là: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Và utility của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trong</w:t>
      </w:r>
      <w:r>
        <w:t xml:space="preserve"> </w:t>
      </w:r>
      <w:r>
        <w:rPr>
          <w:b/>
          <w:bCs/>
        </w:rPr>
        <w:t xml:space="preserve">cơ sở dữ liệu ví dụ</w:t>
      </w:r>
      <w:r>
        <w:t xml:space="preserve"> </w:t>
      </w:r>
      <w:r>
        <w:t xml:space="preserve">được tính là: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w:r>
        <w:t xml:space="preserve">Với</w:t>
      </w:r>
      <w:r>
        <w:t xml:space="preserve"> </w:t>
      </w:r>
      <m:oMath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  <m:r>
          <m:rPr>
            <m:sty m:val="p"/>
          </m:rPr>
          <m:t>=</m:t>
        </m:r>
        <m:r>
          <m:t>35</m:t>
        </m:r>
      </m:oMath>
      <w:r>
        <w:t xml:space="preserve">, vì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E</m:t>
            </m:r>
          </m:e>
        </m:d>
        <m:r>
          <m:rPr>
            <m:sty m:val="p"/>
          </m:rPr>
          <m:t>&lt;</m:t>
        </m:r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</m:oMath>
      <w:r>
        <w:t xml:space="preserve">, nên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không phải là một</w:t>
      </w:r>
      <w:r>
        <w:t xml:space="preserve"> </w:t>
      </w:r>
      <w:r>
        <w:rPr>
          <w:b/>
          <w:bCs/>
        </w:rPr>
        <w:t xml:space="preserve">HUI</w:t>
      </w:r>
      <w:r>
        <w:t xml:space="preserve">.</w:t>
      </w:r>
    </w:p>
    <w:p>
      <w:pPr>
        <w:pStyle w:val="BodyText"/>
      </w:pPr>
      <w:r>
        <w:t xml:space="preserve">TU của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được tính là: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t>C</m:t>
              </m:r>
              <m:r>
                <m:t>D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w:r>
        <w:t xml:space="preserve">Utility của mỗi giao dịch được thể hiện trong cột thứ ba của Bảng 1.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có mặt trong các giao dịch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T</m:t>
            </m:r>
          </m:e>
          <m:sub>
            <m:r>
              <m:t>5</m:t>
            </m:r>
          </m:sub>
        </m:sSub>
      </m:oMath>
      <w:r>
        <w:t xml:space="preserve">, nên: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W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</m:e>
          </m:d>
          <m:r>
            <m:rPr>
              <m:sty m:val="p"/>
            </m:rPr>
            <m:t>=</m:t>
          </m:r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Do đó,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là một</w:t>
      </w:r>
      <w:r>
        <w:t xml:space="preserve"> </w:t>
      </w:r>
      <w:r>
        <w:rPr>
          <w:b/>
          <w:bCs/>
        </w:rPr>
        <w:t xml:space="preserve">HTWUI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