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hopj</w:t>
      </w:r>
    </w:p>
    <w:p/>
    <w:p>
      <w:pPr>
        <w:pStyle w:val="Heading1"/>
      </w:pPr>
      <w:r>
        <w:rPr>
          <w:color w:val="1F497D"/>
        </w:rPr>
        <w:t>Cuộc họp về Suy nghĩ Tích cực và Học tập</w:t>
      </w:r>
    </w:p>
    <w:p>
      <w:pPr>
        <w:pStyle w:val="Heading2"/>
      </w:pPr>
      <w:r>
        <w:rPr>
          <w:color w:val="1F497D"/>
        </w:rPr>
        <w:t>Thông tin</w:t>
      </w:r>
    </w:p>
    <w:p>
      <w:pPr>
        <w:pStyle w:val="ListBullet"/>
      </w:pPr>
      <w:r>
        <w:rPr>
          <w:rFonts w:ascii="Arial" w:hAnsi="Arial"/>
          <w:sz w:val="22"/>
        </w:rPr>
      </w:r>
      <w:r>
        <w:rPr>
          <w:rFonts w:ascii="Arial" w:hAnsi="Arial"/>
          <w:b/>
          <w:color w:val="1F497D"/>
          <w:sz w:val="22"/>
        </w:rPr>
        <w:t>Ngày họp:</w:t>
      </w:r>
      <w:r>
        <w:rPr>
          <w:rFonts w:ascii="Arial" w:hAnsi="Arial"/>
          <w:sz w:val="22"/>
        </w:rPr>
        <w:t xml:space="preserve"> 09/04/2026</w:t>
      </w:r>
    </w:p>
    <w:p>
      <w:pPr>
        <w:pStyle w:val="ListBullet"/>
      </w:pPr>
      <w:r>
        <w:rPr>
          <w:rFonts w:ascii="Arial" w:hAnsi="Arial"/>
          <w:sz w:val="22"/>
        </w:rPr>
      </w:r>
      <w:r>
        <w:rPr>
          <w:rFonts w:ascii="Arial" w:hAnsi="Arial"/>
          <w:b/>
          <w:color w:val="1F497D"/>
          <w:sz w:val="22"/>
        </w:rPr>
        <w:t>Người tham gia:</w:t>
      </w:r>
      <w:r>
        <w:rPr>
          <w:rFonts w:ascii="Arial" w:hAnsi="Arial"/>
          <w:sz w:val="22"/>
        </w:rPr>
        <w:t xml:space="preserve"> 11 người tham gia</w:t>
      </w:r>
    </w:p>
    <w:p>
      <w:pPr>
        <w:pStyle w:val="ListBullet"/>
      </w:pPr>
      <w:r>
        <w:rPr>
          <w:rFonts w:ascii="Arial" w:hAnsi="Arial"/>
          <w:sz w:val="22"/>
        </w:rPr>
      </w:r>
      <w:r>
        <w:rPr>
          <w:rFonts w:ascii="Arial" w:hAnsi="Arial"/>
          <w:b/>
          <w:color w:val="1F497D"/>
          <w:sz w:val="22"/>
        </w:rPr>
        <w:t>Chủ đề:</w:t>
      </w:r>
      <w:r>
        <w:rPr>
          <w:rFonts w:ascii="Arial" w:hAnsi="Arial"/>
          <w:sz w:val="22"/>
        </w:rPr>
        <w:t xml:space="preserve"> Suy nghĩ tích cực và học tập</w:t>
      </w:r>
    </w:p>
    <w:p/>
    <w:p>
      <w:pPr>
        <w:pStyle w:val="Heading2"/>
      </w:pPr>
      <w:r>
        <w:rPr>
          <w:color w:val="1F497D"/>
        </w:rPr>
        <w:t>Mục tiêu</w:t>
      </w:r>
    </w:p>
    <w:p>
      <w:r>
        <w:rPr>
          <w:rFonts w:ascii="Arial" w:hAnsi="Arial"/>
          <w:sz w:val="22"/>
        </w:rPr>
        <w:t>Tìm hiểu về tầm quan trọng của suy nghĩ tích cực trong học tập và cuộc sống hàng ngày.</w:t>
      </w:r>
    </w:p>
    <w:p/>
    <w:p>
      <w:pPr>
        <w:pStyle w:val="Heading2"/>
      </w:pPr>
      <w:r>
        <w:rPr>
          <w:color w:val="1F497D"/>
        </w:rPr>
        <w:t>Tóm tắt</w:t>
      </w:r>
    </w:p>
    <w:p>
      <w:r>
        <w:rPr>
          <w:rFonts w:ascii="Arial" w:hAnsi="Arial"/>
          <w:sz w:val="22"/>
        </w:rPr>
        <w:t>Cuộc họp tập trung vào việc thảo luận về cách suy nghĩ tích cực có thể giúp cải thiện khả năng học tập và đạt được thành công. Các thành viên đã chia sẻ ý kiến về cách thay đổi suy nghĩ tiêu cực thành tích cực và cách áp dụng tư duy tích cực vào cuộc sống hàng ngày.</w:t>
      </w:r>
    </w:p>
    <w:p/>
    <w:p>
      <w:pPr>
        <w:pStyle w:val="Heading2"/>
      </w:pPr>
      <w:r>
        <w:rPr>
          <w:color w:val="1F497D"/>
        </w:rPr>
        <w:t>Quyết định</w:t>
      </w:r>
    </w:p>
    <w:p>
      <w:pPr>
        <w:pStyle w:val="ListBullet"/>
      </w:pPr>
      <w:r>
        <w:rPr>
          <w:rFonts w:ascii="Arial" w:hAnsi="Arial"/>
          <w:sz w:val="22"/>
        </w:rPr>
        <w:t>Áp dụng suy nghĩ tích cực vào học tập và cuộc sống hàng ngày.</w:t>
      </w:r>
    </w:p>
    <w:p>
      <w:pPr>
        <w:pStyle w:val="ListBullet"/>
      </w:pPr>
      <w:r>
        <w:rPr>
          <w:rFonts w:ascii="Arial" w:hAnsi="Arial"/>
          <w:sz w:val="22"/>
        </w:rPr>
        <w:t>Thay thế suy nghĩ tiêu cực bằng suy nghĩ tích cực.</w:t>
      </w:r>
    </w:p>
    <w:p/>
    <w:p>
      <w:pPr>
        <w:pStyle w:val="Heading2"/>
      </w:pPr>
      <w:r>
        <w:rPr>
          <w:color w:val="1F497D"/>
        </w:rPr>
        <w:t>Bước tiếp theo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pPr>
              <w:jc w:val="left"/>
            </w:pPr>
            <w:r>
              <w:rPr>
                <w:rFonts w:ascii="Arial" w:hAnsi="Arial"/>
                <w:b/>
                <w:color w:val="1F497D"/>
                <w:sz w:val="20"/>
              </w:rPr>
            </w:r>
            <w:r>
              <w:rPr>
                <w:rFonts w:ascii="Arial" w:hAnsi="Arial"/>
                <w:b/>
                <w:color w:val="1F497D"/>
                <w:sz w:val="20"/>
              </w:rPr>
              <w:t>Người thực hiện</w:t>
            </w:r>
          </w:p>
        </w:tc>
        <w:tc>
          <w:tcPr>
            <w:tcW w:type="dxa" w:w="2880"/>
            <w:shd w:val="clear" w:color="auto" w:fill="D9E1F2"/>
          </w:tcPr>
          <w:p>
            <w:pPr>
              <w:jc w:val="left"/>
            </w:pPr>
            <w:r>
              <w:rPr>
                <w:rFonts w:ascii="Arial" w:hAnsi="Arial"/>
                <w:b/>
                <w:color w:val="1F497D"/>
                <w:sz w:val="20"/>
              </w:rPr>
            </w:r>
            <w:r>
              <w:rPr>
                <w:rFonts w:ascii="Arial" w:hAnsi="Arial"/>
                <w:b/>
                <w:color w:val="1F497D"/>
                <w:sz w:val="20"/>
              </w:rPr>
              <w:t>Nội dung công việc</w:t>
            </w:r>
          </w:p>
        </w:tc>
        <w:tc>
          <w:tcPr>
            <w:tcW w:type="dxa" w:w="2880"/>
            <w:shd w:val="clear" w:color="auto" w:fill="D9E1F2"/>
          </w:tcPr>
          <w:p>
            <w:pPr>
              <w:jc w:val="left"/>
            </w:pPr>
            <w:r>
              <w:rPr>
                <w:rFonts w:ascii="Arial" w:hAnsi="Arial"/>
                <w:b/>
                <w:color w:val="1F497D"/>
                <w:sz w:val="20"/>
              </w:rPr>
            </w:r>
            <w:r>
              <w:rPr>
                <w:rFonts w:ascii="Arial" w:hAnsi="Arial"/>
                <w:b/>
                <w:color w:val="1F497D"/>
                <w:sz w:val="20"/>
              </w:rPr>
              <w:t>Thời hạn</w:t>
            </w:r>
          </w:p>
        </w:tc>
      </w:tr>
      <w:tr>
        <w:tc>
          <w:tcPr>
            <w:tcW w:type="dxa" w:w="2880"/>
          </w:tcPr>
          <w:p>
            <w:pPr>
              <w:jc w:val="left"/>
            </w:pPr>
            <w:r>
              <w:rPr>
                <w:rFonts w:ascii="Arial" w:hAnsi="Arial"/>
                <w:sz w:val="20"/>
              </w:rPr>
            </w:r>
            <w:r>
              <w:rPr>
                <w:rFonts w:ascii="Arial" w:hAnsi="Arial"/>
                <w:sz w:val="20"/>
              </w:rPr>
              <w:t>Tất cả</w:t>
            </w:r>
          </w:p>
        </w:tc>
        <w:tc>
          <w:tcPr>
            <w:tcW w:type="dxa" w:w="2880"/>
          </w:tcPr>
          <w:p>
            <w:pPr>
              <w:jc w:val="left"/>
            </w:pPr>
            <w:r>
              <w:rPr>
                <w:rFonts w:ascii="Arial" w:hAnsi="Arial"/>
                <w:sz w:val="20"/>
              </w:rPr>
            </w:r>
            <w:r>
              <w:rPr>
                <w:rFonts w:ascii="Arial" w:hAnsi="Arial"/>
                <w:sz w:val="20"/>
              </w:rPr>
              <w:t>Áp dụng suy nghĩ tích cực vào học tập và cuộc sống hàng ngày</w:t>
            </w:r>
          </w:p>
        </w:tc>
        <w:tc>
          <w:tcPr>
            <w:tcW w:type="dxa" w:w="2880"/>
          </w:tcPr>
          <w:p>
            <w:pPr>
              <w:jc w:val="left"/>
            </w:pPr>
            <w:r>
              <w:rPr>
                <w:rFonts w:ascii="Arial" w:hAnsi="Arial"/>
                <w:sz w:val="20"/>
              </w:rPr>
            </w:r>
            <w:r>
              <w:rPr>
                <w:rFonts w:ascii="Arial" w:hAnsi="Arial"/>
                <w:sz w:val="20"/>
              </w:rPr>
              <w:t>Ngay lập tức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