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4875" w14:textId="77777777" w:rsidR="00691C6E" w:rsidRPr="00BE0EAA" w:rsidRDefault="00691C6E" w:rsidP="00691C6E">
      <w:pPr>
        <w:jc w:val="both"/>
      </w:pPr>
      <w:r>
        <w:rPr>
          <w:b/>
        </w:rPr>
        <w:t>Ge</w:t>
      </w:r>
      <w:r w:rsidRPr="00B14934">
        <w:rPr>
          <w:b/>
        </w:rPr>
        <w:t>nome-wide biases in the rate and molecular spectrum of spontaneous mutations</w:t>
      </w:r>
      <w:r w:rsidRPr="00E014B6">
        <w:rPr>
          <w:b/>
          <w:i/>
        </w:rPr>
        <w:t xml:space="preserve"> </w:t>
      </w:r>
      <w:r w:rsidRPr="00210A77">
        <w:rPr>
          <w:b/>
        </w:rPr>
        <w:t>in</w:t>
      </w:r>
      <w:r w:rsidRPr="00E014B6">
        <w:rPr>
          <w:b/>
          <w:i/>
        </w:rPr>
        <w:t xml:space="preserve"> Vibrio cholerae </w:t>
      </w:r>
      <w:r w:rsidRPr="00210A77">
        <w:rPr>
          <w:b/>
        </w:rPr>
        <w:t>and</w:t>
      </w:r>
      <w:r w:rsidRPr="00E014B6">
        <w:rPr>
          <w:b/>
          <w:i/>
        </w:rPr>
        <w:t xml:space="preserve"> Vibrio fischeri</w:t>
      </w:r>
    </w:p>
    <w:p w14:paraId="34598BCE" w14:textId="77777777" w:rsidR="002C2DC8" w:rsidRPr="002C2DC8" w:rsidRDefault="002C2DC8" w:rsidP="002C2DC8"/>
    <w:p w14:paraId="291AFFE8" w14:textId="6A7E3378" w:rsidR="00A479AA" w:rsidRDefault="00A479AA" w:rsidP="008845EE">
      <w:pPr>
        <w:outlineLvl w:val="0"/>
      </w:pPr>
      <w:r w:rsidRPr="00B14934">
        <w:t xml:space="preserve">Marcus M. Dillon, Way Sung, Michael Lynch, </w:t>
      </w:r>
      <w:r w:rsidR="002B09D8">
        <w:t xml:space="preserve">Robert Sebra, </w:t>
      </w:r>
      <w:r w:rsidRPr="00B14934">
        <w:t>and Vaughn S. Cooper</w:t>
      </w:r>
    </w:p>
    <w:p w14:paraId="0BD8307D" w14:textId="77777777" w:rsidR="00A479AA" w:rsidRDefault="00A479AA"/>
    <w:p w14:paraId="031F4395" w14:textId="22ABFC31" w:rsidR="00A479AA" w:rsidRPr="00602083" w:rsidRDefault="00A479AA" w:rsidP="008845EE">
      <w:pPr>
        <w:outlineLvl w:val="0"/>
      </w:pPr>
      <w:r w:rsidRPr="00602083">
        <w:t>Supplemental Information</w:t>
      </w:r>
      <w:r>
        <w:rPr>
          <w:lang w:val="en-CA"/>
        </w:rPr>
        <w:br w:type="page"/>
      </w:r>
    </w:p>
    <w:p w14:paraId="40B8413C" w14:textId="77777777" w:rsidR="008C39A4" w:rsidRDefault="008C39A4" w:rsidP="008C39A4">
      <w:pPr>
        <w:tabs>
          <w:tab w:val="left" w:pos="7650"/>
        </w:tabs>
        <w:rPr>
          <w:b/>
        </w:rPr>
        <w:sectPr w:rsidR="008C39A4" w:rsidSect="0054274A">
          <w:pgSz w:w="12240" w:h="15840"/>
          <w:pgMar w:top="1440" w:right="1440" w:bottom="1440" w:left="1440" w:header="708" w:footer="708" w:gutter="0"/>
          <w:cols w:space="708"/>
          <w:docGrid w:linePitch="360"/>
        </w:sectPr>
      </w:pPr>
    </w:p>
    <w:p w14:paraId="38323731" w14:textId="0D7B325A" w:rsidR="00C81A5C" w:rsidRDefault="00DC689D" w:rsidP="00C81A5C">
      <w:pPr>
        <w:tabs>
          <w:tab w:val="left" w:pos="7650"/>
        </w:tabs>
        <w:jc w:val="both"/>
        <w:rPr>
          <w:b/>
        </w:rPr>
      </w:pPr>
      <w:r>
        <w:rPr>
          <w:b/>
        </w:rPr>
        <w:lastRenderedPageBreak/>
        <w:t>Supplemental Text</w:t>
      </w:r>
    </w:p>
    <w:p w14:paraId="4A476CFA" w14:textId="77777777" w:rsidR="00C81A5C" w:rsidRDefault="00C81A5C" w:rsidP="00C81A5C">
      <w:pPr>
        <w:tabs>
          <w:tab w:val="left" w:pos="7650"/>
        </w:tabs>
        <w:jc w:val="both"/>
        <w:rPr>
          <w:b/>
        </w:rPr>
      </w:pPr>
    </w:p>
    <w:p w14:paraId="797C1BB4" w14:textId="293FBE7B" w:rsidR="00C81A5C" w:rsidRPr="00C81A5C" w:rsidRDefault="00C81A5C" w:rsidP="00C81A5C">
      <w:pPr>
        <w:spacing w:line="480" w:lineRule="auto"/>
        <w:jc w:val="both"/>
        <w:rPr>
          <w:u w:val="single"/>
        </w:rPr>
      </w:pPr>
      <w:r w:rsidRPr="00C81A5C">
        <w:rPr>
          <w:u w:val="single"/>
        </w:rPr>
        <w:t>Selection in MA Experiments</w:t>
      </w:r>
    </w:p>
    <w:p w14:paraId="03388D86" w14:textId="77777777" w:rsidR="00C81A5C" w:rsidRDefault="00C81A5C" w:rsidP="00C81A5C">
      <w:pPr>
        <w:spacing w:line="480" w:lineRule="auto"/>
        <w:ind w:firstLine="720"/>
        <w:jc w:val="both"/>
        <w:rPr>
          <w:rFonts w:eastAsiaTheme="minorEastAsia"/>
        </w:rPr>
      </w:pPr>
      <w:r>
        <w:t>The properties of our MA experiments allow us to assume that few mutations are subject to the biases of natural selection. The threshold selective coefficient (</w:t>
      </w:r>
      <w:r w:rsidRPr="0023088F">
        <w:rPr>
          <w:i/>
        </w:rPr>
        <w:t>s</w:t>
      </w:r>
      <w:r>
        <w:t xml:space="preserve">) below which genetic </w:t>
      </w:r>
      <w:r>
        <w:t xml:space="preserve">drift will overpower natural selection is determined by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 s =1</m:t>
        </m:r>
      </m:oMath>
      <w:r>
        <w:rPr>
          <w:rFonts w:eastAsiaTheme="minorEastAsia"/>
        </w:rPr>
        <w:t xml:space="preserve"> </w:t>
      </w:r>
      <w:r>
        <w:rPr>
          <w:rFonts w:eastAsiaTheme="minorEastAsia"/>
        </w:rPr>
        <w:fldChar w:fldCharType="begin" w:fldLock="1"/>
      </w:r>
      <w:r>
        <w:rPr>
          <w:rFonts w:eastAsiaTheme="minorEastAsia"/>
        </w:rPr>
        <w:instrText>ADDIN CSL_CITATION { "citationItems" : [ { "id" : "ITEM-1", "itemData" : { "ISBN" : "9780878934843 (alk. paper) 0878934847 (alk. paper)", "author" : [ { "dropping-particle" : "", "family" : "Lynch", "given" : "Michael", "non-dropping-particle" : "", "parse-names" : false, "suffix" : "" } ], "id" : "ITEM-1", "issued" : { "date-parts" : [ [ "2007" ] ] }, "note" : "2007000012\nGBA652908\n(OCoLC)77574049\nMichael Lynch.\nill. (some col.) ; 25 cm.\nIncludes bibliographical references (p. [401]-470) and indexes.\nThe origin of eukaryotes -- Genome size and organismal complexity -- The human genome -- Why population size matters -- Three keys to chromosomal integrity -- The nucleotide composition landscape -- Mobile genetic elements -- Genomic expansion by gene duplication -- Genes in pieces -- Transcript production -- Expansion and contraction of organelle genomes -- Sex chromosomes -- Genomfart.\nTable of contents", "number-of-pages" : "xvi, 494 p.", "publisher" : "Sinauer Associates", "publisher-place" : "Sunderland (MA)", "title" : "The origins of genome architecture", "type" : "book" }, "uris" : [ "http://www.mendeley.com/documents/?uuid=4d85167b-7a96-4045-a214-099a3d3671d3" ] } ], "mendeley" : { "formattedCitation" : "(Lynch 2007)", "plainTextFormattedCitation" : "(Lynch 2007)", "previouslyFormattedCitation" : "(Lynch 2007)" }, "properties" : { "noteIndex" : 0 }, "schema" : "https://github.com/citation-style-language/schema/raw/master/csl-citation.json" }</w:instrText>
      </w:r>
      <w:r>
        <w:rPr>
          <w:rFonts w:eastAsiaTheme="minorEastAsia"/>
        </w:rPr>
        <w:fldChar w:fldCharType="separate"/>
      </w:r>
      <w:r w:rsidRPr="006978FF">
        <w:rPr>
          <w:rFonts w:eastAsiaTheme="minorEastAsia"/>
          <w:noProof/>
        </w:rPr>
        <w:t>(Lynch 2007)</w:t>
      </w:r>
      <w:r>
        <w:rPr>
          <w:rFonts w:eastAsiaTheme="minorEastAsia"/>
        </w:rPr>
        <w:fldChar w:fldCharType="end"/>
      </w:r>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is </w:t>
      </w:r>
      <w:r>
        <w:t xml:space="preserve">the effective population size. </w:t>
      </w:r>
      <w:r>
        <w:rPr>
          <w:rFonts w:eastAsiaTheme="minorEastAsia"/>
        </w:rPr>
        <w:t xml:space="preserve">By estimating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rPr>
          <w:rFonts w:eastAsiaTheme="minorEastAsia"/>
        </w:rPr>
        <w:t xml:space="preserve"> for each MA experiment using the harmonic mean of the population size (</w:t>
      </w:r>
      <w:r w:rsidRPr="0023088F">
        <w:rPr>
          <w:rFonts w:eastAsiaTheme="minorEastAsia"/>
          <w:i/>
        </w:rPr>
        <w:t>N</w:t>
      </w:r>
      <w:r>
        <w:rPr>
          <w:rFonts w:eastAsiaTheme="minorEastAsia"/>
        </w:rPr>
        <w:t xml:space="preserve">) </w:t>
      </w:r>
      <w:r>
        <w:rPr>
          <w:rFonts w:eastAsiaTheme="minorEastAsia"/>
        </w:rPr>
        <w:fldChar w:fldCharType="begin" w:fldLock="1"/>
      </w:r>
      <w:r>
        <w:rPr>
          <w:rFonts w:eastAsiaTheme="minorEastAsia"/>
        </w:rPr>
        <w:instrText>ADDIN CSL_CITATION { "citationItems" : [ { "id" : "ITEM-1", "itemData" : { "DOI" : "10.1017/S001667230900024X", "ISBN" : "0016672308009", "ISSN" : "0016-6723", "PMID" : "18593510", "abstract" : "Previously we performed a 1012-generation mutation accumulation (MA) study in yeast and found that a surprisingly large proportion of fitness-altering mutations were beneficial. To verify this result and assess the impact of sampling error in our previous study, we have continued the MA experiment for an additional 1050 cell generations and re-estimated mutation parameters. After correcting for biases due to selection, we estimate that 13% of the mutations accumulated during this study are beneficial. We conclude that the high proportions of beneficial mutations observed in this and our previous study cannot be explained by sampling error. We also estimate the genome-wide mutation rate to be 13.7x10-5 mutations per haploid genome per cell generation and the absolute value of the average heterozygous effect of a mutation to be 7.3%.", "author" : [ { "dropping-particle" : "", "family" : "Hall", "given" : "David W", "non-dropping-particle" : "", "parse-names" : false, "suffix" : "" }, { "dropping-particle" : "", "family" : "Mahmoudizad", "given" : "Rod", "non-dropping-particle" : "", "parse-names" : false, "suffix" : "" }, { "dropping-particle" : "", "family" : "Hurd", "given" : "Andrew W", "non-dropping-particle" : "", "parse-names" : false, "suffix" : "" }, { "dropping-particle" : "", "family" : "Joseph", "given" : "Sarah B", "non-dropping-particle" : "", "parse-names" : false, "suffix" : "" } ], "container-title" : "Genetics research", "id" : "ITEM-1", "issued" : { "date-parts" : [ [ "2008" ] ] }, "page" : "229-241", "title" : "Spontaneous mutations in diploid &lt;i&gt;Saccharomyces cerevisiae&lt;/i&gt;: another thousand cell generations.", "type" : "article-journal", "volume" : "90" }, "uris" : [ "http://www.mendeley.com/documents/?uuid=e3b1c2e2-a809-4fac-8dd0-ab086976cefa" ] } ], "mendeley" : { "formattedCitation" : "(Hall et al. 2008)", "plainTextFormattedCitation" : "(Hall et al. 2008)", "previouslyFormattedCitation" : "(Hall et al. 2008)" }, "properties" : { "noteIndex" : 0 }, "schema" : "https://github.com/citation-style-language/schema/raw/master/csl-citation.json" }</w:instrText>
      </w:r>
      <w:r>
        <w:rPr>
          <w:rFonts w:eastAsiaTheme="minorEastAsia"/>
        </w:rPr>
        <w:fldChar w:fldCharType="separate"/>
      </w:r>
      <w:r w:rsidRPr="00023DDD">
        <w:rPr>
          <w:rFonts w:eastAsiaTheme="minorEastAsia"/>
          <w:noProof/>
        </w:rPr>
        <w:t>(Hall et al. 2008)</w:t>
      </w:r>
      <w:r>
        <w:rPr>
          <w:rFonts w:eastAsiaTheme="minorEastAsia"/>
        </w:rPr>
        <w:fldChar w:fldCharType="end"/>
      </w:r>
      <w:r>
        <w:rPr>
          <w:rFonts w:eastAsiaTheme="minorEastAsia"/>
        </w:rPr>
        <w:t>, we infer that only mutations conferring an adaptive or deleterious effect (</w:t>
      </w:r>
      <w:r>
        <w:rPr>
          <w:rFonts w:eastAsiaTheme="minorEastAsia"/>
          <w:i/>
        </w:rPr>
        <w:t>s</w:t>
      </w:r>
      <w:r>
        <w:rPr>
          <w:rFonts w:eastAsiaTheme="minorEastAsia"/>
        </w:rPr>
        <w:t xml:space="preserve">) greater than 0.083, 0.067, 0.106, and 0.069 for </w:t>
      </w:r>
      <w:r w:rsidRPr="00187B60">
        <w:rPr>
          <w:rFonts w:eastAsiaTheme="minorEastAsia"/>
          <w:i/>
        </w:rPr>
        <w:t>Vf</w:t>
      </w:r>
      <w:r>
        <w:rPr>
          <w:rFonts w:eastAsiaTheme="minorEastAsia"/>
        </w:rPr>
        <w:t xml:space="preserve">-wt, </w:t>
      </w:r>
      <w:r w:rsidRPr="00187B60">
        <w:rPr>
          <w:rFonts w:eastAsiaTheme="minorEastAsia"/>
          <w:i/>
        </w:rPr>
        <w:t>Vc</w:t>
      </w:r>
      <w:r>
        <w:rPr>
          <w:rFonts w:eastAsiaTheme="minorEastAsia"/>
        </w:rPr>
        <w:t xml:space="preserve">-wt, </w:t>
      </w:r>
      <w:r w:rsidRPr="00187B60">
        <w:rPr>
          <w:rFonts w:eastAsiaTheme="minorEastAsia"/>
          <w:i/>
        </w:rPr>
        <w:t>Vf</w:t>
      </w:r>
      <w:r>
        <w:rPr>
          <w:rFonts w:eastAsiaTheme="minorEastAsia"/>
        </w:rPr>
        <w:t xml:space="preserve">-mut, and </w:t>
      </w:r>
      <w:r w:rsidRPr="00187B60">
        <w:rPr>
          <w:rFonts w:eastAsiaTheme="minorEastAsia"/>
          <w:i/>
        </w:rPr>
        <w:t>Vc</w:t>
      </w:r>
      <w:r>
        <w:rPr>
          <w:rFonts w:eastAsiaTheme="minorEastAsia"/>
        </w:rPr>
        <w:t xml:space="preserve">-mut, respectively, will be subject to the biases of natural selection. This is expected to be a very small fraction of mutations </w:t>
      </w:r>
      <w:r>
        <w:rPr>
          <w:rFonts w:eastAsiaTheme="minorEastAsia"/>
        </w:rPr>
        <w:fldChar w:fldCharType="begin" w:fldLock="1"/>
      </w:r>
      <w:r>
        <w:rPr>
          <w:rFonts w:eastAsiaTheme="minorEastAsia"/>
        </w:rPr>
        <w:instrText>ADDIN CSL_CITATION { "citationItems" : [ { "id" : "ITEM-1", "itemData" : { "DOI" : "citeulike-article-id:4441469", "ISBN" : "0521317932", "abstract" : "Motoo Kimura, as founder of the neutral theory, is uniquely placed to writethis book. He first proposed the theory in 1968 to explain the unexpectedlyhigh rate of evolutionary change and very large amount of intraspecificvariability at the molecular level that had been uncovered by new techniquesin molecular biology. The theory - which asserts that the great majority ofevolutionary changes at the molecular level are caused not by Darwinianselection but by random drift of selectively neutral mutants - has causedcontroversy ever since. This book is the first comprehensive treatment of thissubject and the author synthesises a wealth of material - ranging from ahistorical perspective, through recent molecular discoveries, to sophisticatedmathematical arguments - all presented in a most lucid manner.", "author" : [ { "dropping-particle" : "", "family" : "Kimura", "given" : "Motoo", "non-dropping-particle" : "", "parse-names" : false, "suffix" : "" } ], "id" : "ITEM-1", "issued" : { "date-parts" : [ [ "1983" ] ] }, "publisher" : "Cambridge University Press", "publisher-place" : "Cambridge, New York", "title" : "The Neutral Theory of Molecular Evolution", "type" : "book" }, "uris" : [ "http://www.mendeley.com/documents/?uuid=c2b4504b-ff31-4a2d-b9f4-4ad75ae9557e" ] }, { "id" : "ITEM-2", "itemData" : { "DOI" : "10.1017/S001667230900024X", "ISBN" : "0016672308009", "ISSN" : "0016-6723", "PMID" : "18593510", "abstract" : "Previously we performed a 1012-generation mutation accumulation (MA) study in yeast and found that a surprisingly large proportion of fitness-altering mutations were beneficial. To verify this result and assess the impact of sampling error in our previous study, we have continued the MA experiment for an additional 1050 cell generations and re-estimated mutation parameters. After correcting for biases due to selection, we estimate that 13% of the mutations accumulated during this study are beneficial. We conclude that the high proportions of beneficial mutations observed in this and our previous study cannot be explained by sampling error. We also estimate the genome-wide mutation rate to be 13.7x10-5 mutations per haploid genome per cell generation and the absolute value of the average heterozygous effect of a mutation to be 7.3%.", "author" : [ { "dropping-particle" : "", "family" : "Hall", "given" : "David W", "non-dropping-particle" : "", "parse-names" : false, "suffix" : "" }, { "dropping-particle" : "", "family" : "Mahmoudizad", "given" : "Rod", "non-dropping-particle" : "", "parse-names" : false, "suffix" : "" }, { "dropping-particle" : "", "family" : "Hurd", "given" : "Andrew W", "non-dropping-particle" : "", "parse-names" : false, "suffix" : "" }, { "dropping-particle" : "", "family" : "Joseph", "given" : "Sarah B", "non-dropping-particle" : "", "parse-names" : false, "suffix" : "" } ], "container-title" : "Genetics research", "id" : "ITEM-2", "issued" : { "date-parts" : [ [ "2008" ] ] }, "page" : "229-241", "title" : "Spontaneous mutations in diploid &lt;i&gt;Saccharomyces cerevisiae&lt;/i&gt;: another thousand cell generations.", "type" : "article-journal", "volume" : "90" }, "uris" : [ "http://www.mendeley.com/documents/?uuid=e3b1c2e2-a809-4fac-8dd0-ab086976cefa" ] } ], "mendeley" : { "formattedCitation" : "(Kimura 1983; Hall et al. 2008)", "plainTextFormattedCitation" : "(Kimura 1983; Hall et al. 2008)", "previouslyFormattedCitation" : "(Kimura 1983; Hall et al. 2008)" }, "properties" : { "noteIndex" : 0 }, "schema" : "https://github.com/citation-style-language/schema/raw/master/csl-citation.json" }</w:instrText>
      </w:r>
      <w:r>
        <w:rPr>
          <w:rFonts w:eastAsiaTheme="minorEastAsia"/>
        </w:rPr>
        <w:fldChar w:fldCharType="separate"/>
      </w:r>
      <w:r w:rsidRPr="00023DDD">
        <w:rPr>
          <w:rFonts w:eastAsiaTheme="minorEastAsia"/>
          <w:noProof/>
        </w:rPr>
        <w:t>(Kimura 1983; Hall et al. 2008)</w:t>
      </w:r>
      <w:r>
        <w:rPr>
          <w:rFonts w:eastAsiaTheme="minorEastAsia"/>
        </w:rPr>
        <w:fldChar w:fldCharType="end"/>
      </w:r>
      <w:r>
        <w:rPr>
          <w:rFonts w:eastAsiaTheme="minorEastAsia"/>
        </w:rPr>
        <w:t>. Furthermore, if we exclude indels that were identified at the same site or SSR, only four genes were hit more than once and no genes were hit more than twice across all wild-type lineages, suggesting that strong positive selection acting on common traits did not influence these experiments.</w:t>
      </w:r>
    </w:p>
    <w:p w14:paraId="2B9A01E8" w14:textId="77777777" w:rsidR="00C81A5C" w:rsidRDefault="00C81A5C" w:rsidP="00C81A5C">
      <w:pPr>
        <w:spacing w:line="480" w:lineRule="auto"/>
        <w:jc w:val="both"/>
        <w:rPr>
          <w:rFonts w:eastAsiaTheme="minorEastAsia"/>
        </w:rPr>
      </w:pPr>
      <w:r>
        <w:rPr>
          <w:rFonts w:eastAsiaTheme="minorEastAsia"/>
          <w:b/>
        </w:rPr>
        <w:tab/>
      </w:r>
      <w:r>
        <w:rPr>
          <w:rFonts w:eastAsiaTheme="minorEastAsia"/>
        </w:rPr>
        <w:t xml:space="preserve">Other metrics that have been used to test that the efficiency of purifying selection is minimized in MA experiments include the ratio of coding to non-coding mutations and the ratio of synonymous to nonsynonymous bpsms. However, both of these tests are problematic as preferential mismatch repair in coding regions </w:t>
      </w:r>
      <w:r>
        <w:rPr>
          <w:rFonts w:eastAsiaTheme="minorEastAsia"/>
        </w:rPr>
        <w:fldChar w:fldCharType="begin" w:fldLock="1"/>
      </w:r>
      <w:r>
        <w:rPr>
          <w:rFonts w:eastAsiaTheme="minorEastAsia"/>
        </w:rPr>
        <w:instrText>ADDIN CSL_CITATION { "citationItems" : [ { "id" : "ITEM-1", "itemData" : { "DOI" : "DOI 10.1073/pnas.1210309109", "ISBN" : "0027-8424", "abstract" : "Knowledge of the rate and nature of spontaneous mutation is fundamental to understanding evolutionary and molecular processes. In this report, we analyze spontaneous mutations accumulated over thousands of generations by wild-type Escherichia coli and a derivative defective in mismatch repair (MMR), the primary pathway for correcting replication errors. The major conclusions are (i) the mutation rate of a wild-type E. coli strain is similar to 1 x 10(-3) per genome per generation; (ii) mutations in the wild-type strain have the expected mutational bias for G:C &gt; A:T mutations, but the bias changes to A:T &gt; G:C mutations in the absence of MMR; (iii) during replication, A:T &gt; G:C transitions preferentially occur with A templating the lagging strand and T templating the leading strand, whereas G:C &gt; A:T transitions preferentially occur with C templating the lagging strand and G templating the leading strand; (iv) there is a strong bias for transition mutations to occur at 5'ApC3'/3'TpG5' sites (where bases 5'A and 3'T are mutated) and, to a lesser extent, at 5'GpC3'/3'CpG5' sites (where bases 5'G and 3'C are mutated); (v) although the rate of small (&lt;= 4 nt) insertions and deletions is high at repeat sequences, these events occur at only 1/10th the genomic rate of base-pair substitutions. MMR activity is genetically regulated, and bacteria isolated from nature often lack MMR capacity, suggesting that modulation of MMR can be adaptive. Thus, comparing results from the wild-type and MMR-defective strains may lead to a deeper understanding of factors that determine mutation rates and spectra, how these factors may differ among organisms, and how they may be shaped by environmental conditions.", "author" : [ { "dropping-particle" : "", "family" : "Lee", "given" : "H", "non-dropping-particle" : "", "parse-names" : false, "suffix" : "" }, { "dropping-particle" : "", "family" : "Popodi", "given" : "E", "non-dropping-particle" : "", "parse-names" : false, "suffix" : "" }, { "dropping-particle" : "", "family" : "Tang", "given" : "H X", "non-dropping-particle" : "", "parse-names" : false, "suffix" : "" }, { "dropping-particle" : "", "family" : "Foster", "given" : "P L", "non-dropping-particle" : "", "parse-names" : false, "suffix" : "" } ], "container-title" : "Proceedings of the National Academy of Sciences of the United States of America", "id" : "ITEM-1", "issue" : "41", "issued" : { "date-parts" : [ [ "2012" ] ] }, "language" : "English", "note" : "026LQ\nTimes Cited:0\nCited References Count:81", "page" : "E2774-E2783", "title" : "Rate and molecular spectrum of spontaneous mutations in the bacterium &lt;i&gt;Escherichia coli&lt;/i&gt; as determined by whole-genome sequencing", "type" : "article-journal", "volume" : "109" }, "uris" : [ "http://www.mendeley.com/documents/?uuid=d7735c6f-48bd-475f-8074-f599cf35530a" ] } ], "mendeley" : { "formattedCitation" : "(Lee et al. 2012)", "plainTextFormattedCitation" : "(Lee et al. 2012)", "previouslyFormattedCitation" : "(Lee et al. 2012)" }, "properties" : { "noteIndex" : 0 }, "schema" : "https://github.com/citation-style-language/schema/raw/master/csl-citation.json" }</w:instrText>
      </w:r>
      <w:r>
        <w:rPr>
          <w:rFonts w:eastAsiaTheme="minorEastAsia"/>
        </w:rPr>
        <w:fldChar w:fldCharType="separate"/>
      </w:r>
      <w:r w:rsidRPr="00023DDD">
        <w:rPr>
          <w:rFonts w:eastAsiaTheme="minorEastAsia"/>
          <w:noProof/>
        </w:rPr>
        <w:t>(Lee et al. 2012)</w:t>
      </w:r>
      <w:r>
        <w:rPr>
          <w:rFonts w:eastAsiaTheme="minorEastAsia"/>
        </w:rPr>
        <w:fldChar w:fldCharType="end"/>
      </w:r>
      <w:r>
        <w:rPr>
          <w:rFonts w:eastAsiaTheme="minorEastAsia"/>
        </w:rPr>
        <w:t xml:space="preserve">, context-dependent mutation biases </w:t>
      </w:r>
      <w:r>
        <w:rPr>
          <w:rFonts w:eastAsiaTheme="minorEastAsia"/>
        </w:rPr>
        <w:fldChar w:fldCharType="begin" w:fldLock="1"/>
      </w:r>
      <w:r>
        <w:rPr>
          <w:rFonts w:eastAsiaTheme="minorEastAsia"/>
        </w:rPr>
        <w:instrText>ADDIN CSL_CITATION { "citationItems" : [ { "id" : "ITEM-1", "itemData" : { "DOI" : "10.1093/molbev/msv055", "ISSN" : "0737-4038", "author" : [ { "dropping-particle" : "", "family" : "Sung", "given" : "W.", "non-dropping-particle" : "", "parse-names" : false, "suffix" : "" }, { "dropping-particle" : "", "family" : "Ackerman", "given" : "M. S.", "non-dropping-particle" : "", "parse-names" : false, "suffix" : "" }, { "dropping-particle" : "", "family" : "Gout", "given" : "J.-F.", "non-dropping-particle" : "", "parse-names" : false, "suffix" : "" }, { "dropping-particle" : "", "family" : "Miller", "given" : "S. F.", "non-dropping-particle" : "", "parse-names" : false, "suffix" : "" }, { "dropping-particle" : "", "family" : "Williams", "given" : "E.", "non-dropping-particle" : "", "parse-names" : false, "suffix" : "" }, { "dropping-particle" : "", "family" : "Foster", "given" : "P. L.", "non-dropping-particle" : "", "parse-names" : false, "suffix" : "" }, { "dropping-particle" : "", "family" : "Lynch", "given" : "M.", "non-dropping-particle" : "", "parse-names" : false, "suffix" : "" } ], "container-title" : "Molecular Biology and Evolution", "id" : "ITEM-1", "issue" : "7", "issued" : { "date-parts" : [ [ "2015" ] ] }, "page" : "1672-1683", "title" : "Asymmetric context-dependent mutation patterns revealed through mutation-accumulation experiments", "type" : "article-journal", "volume" : "32" }, "uris" : [ "http://www.mendeley.com/documents/?uuid=1afb75de-e724-4bc4-acfb-9020ab82e0e3" ] } ], "mendeley" : { "formattedCitation" : "(Sung et al. 2015)", "plainTextFormattedCitation" : "(Sung et al. 2015)", "previouslyFormattedCitation" : "(Sung et al. 2015)" }, "properties" : { "noteIndex" : 0 }, "schema" : "https://github.com/citation-style-language/schema/raw/master/csl-citation.json" }</w:instrText>
      </w:r>
      <w:r>
        <w:rPr>
          <w:rFonts w:eastAsiaTheme="minorEastAsia"/>
        </w:rPr>
        <w:fldChar w:fldCharType="separate"/>
      </w:r>
      <w:r w:rsidRPr="00023DDD">
        <w:rPr>
          <w:rFonts w:eastAsiaTheme="minorEastAsia"/>
          <w:noProof/>
        </w:rPr>
        <w:t>(Sung et al. 2015)</w:t>
      </w:r>
      <w:r>
        <w:rPr>
          <w:rFonts w:eastAsiaTheme="minorEastAsia"/>
        </w:rPr>
        <w:fldChar w:fldCharType="end"/>
      </w:r>
      <w:r>
        <w:rPr>
          <w:rFonts w:eastAsiaTheme="minorEastAsia"/>
        </w:rPr>
        <w:t xml:space="preserve">, and a non-uniform distribution of mutation rates and spectra across the genome </w:t>
      </w:r>
      <w:r>
        <w:rPr>
          <w:rFonts w:eastAsiaTheme="minorEastAsia"/>
        </w:rPr>
        <w:fldChar w:fldCharType="begin" w:fldLock="1"/>
      </w:r>
      <w:r>
        <w:rPr>
          <w:rFonts w:eastAsiaTheme="minorEastAsia"/>
        </w:rPr>
        <w:instrText>ADDIN CSL_CITATION { "citationItems" : [ { "id" : "ITEM-1", "itemData" : { "DOI" : "10.1534/genetics.115.176834", "ISSN" : "0016-6731", "author" : [ { "dropping-particle" : "", "family" : "Dillon", "given" : "M. M.", "non-dropping-particle" : "", "parse-names" : false, "suffix" : "" }, { "dropping-particle" : "", "family" : "Sung", "given" : "W.", "non-dropping-particle" : "", "parse-names" : false, "suffix" : "" }, { "dropping-particle" : "", "family" : "Lynch", "given" : "M.", "non-dropping-particle" : "", "parse-names" : false, "suffix" : "" }, { "dropping-particle" : "", "family" : "Cooper", "given" : "V. S.", "non-dropping-particle" : "", "parse-names" : false, "suffix" : "" } ], "container-title" : "Genetics", "id" : "ITEM-1", "issue" : "3", "issued" : { "date-parts" : [ [ "2015" ] ] }, "page" : "935-946", "title" : "The rate and molecular spectrum of spontaneous mutations in the GC-rich multichromosome genome of &lt;i&gt;Burkholderia cenocepacia&lt;/i&gt;", "type" : "article-journal", "volume" : "200" }, "uris" : [ "http://www.mendeley.com/documents/?uuid=64f11f28-ff05-4dac-a1dd-e6a9a2c7ee8b" ] }, { "id" : "ITEM-2", "itemData" : { "ISBN" : "2160-1836", "abstract" : "By sequencing the genomes of 34 mutation accumulation lines of a mismatch-repair defective strain of Escherichia coli that had undergone a total of 12,750 generations, we identified 1625 spontaneous base-pair substitutions spread across the E. coli genome. These mutations are not distributed at random but, instead, fall into a wave-like spatial pattern that is repeated almost exactly in mirror image in the two separately replicated halves of the bacterial chromosome. The pattern is correlated to genomic features, with mutation densities greatest in regions predicted to have high superhelicity. Superimposed upon this pattern are regional hotspots, some of which are located where replication forks may collide or be blocked. These results suggest that, as they traverse the chromosome, the two replication forks encounter parallel structural features that change the fidelity of DNA replication.", "author" : [ { "dropping-particle" : "", "family" : "Foster", "given" : "P L", "non-dropping-particle" : "", "parse-names" : false, "suffix" : "" }, { "dropping-particle" : "", "family" : "Hanson", "given" : "A J", "non-dropping-particle" : "", "parse-names" : false, "suffix" : "" }, { "dropping-particle" : "", "family" : "Lee", "given" : "H", "non-dropping-particle" : "", "parse-names" : false, "suffix" : "" }, { "dropping-particle" : "", "family" : "Popodi", "given" : "E M", "non-dropping-particle" : "", "parse-names" : false, "suffix" : "" }, { "dropping-particle" : "", "family" : "Tang", "given" : "H X", "non-dropping-particle" : "", "parse-names" : false, "suffix" : "" } ], "container-title" : "G3-Genes Genomes Genetics", "id" : "ITEM-2", "issue" : "3", "issued" : { "date-parts" : [ [ "2013" ] ] }, "language" : "English", "note" : "103WK\nTimes Cited:0\nCited References Count:44", "page" : "399-407", "title" : "On the mutational topology of the bacterial genome", "type" : "article-journal", "volume" : "3" }, "uris" : [ "http://www.mendeley.com/documents/?uuid=a69b0e64-2bc3-4150-99cf-2b2a5d99a813" ] }, { "id" : "ITEM-3", "itemData" : { "DOI" : "10.1186/s12864-015-2244-3", "ISBN" : "1286401522443", "ISSN" : "1471-2164", "author" : [ { "dropping-particle" : "", "family" : "Dettman", "given" : "Jeremy R.", "non-dropping-particle" : "", "parse-names" : false, "suffix" : "" }, { "dropping-particle" : "", "family" : "Sztepanacz", "given" : "Jacqueline L.", "non-dropping-particle" : "", "parse-names" : false, "suffix" : "" }, { "dropping-particle" : "", "family" : "Kassen", "given" : "Rees", "non-dropping-particle" : "", "parse-names" : false, "suffix" : "" } ], "container-title" : "BMC Genomics", "id" : "ITEM-3", "issue" : "1", "issued" : { "date-parts" : [ [ "2016" ] ] }, "page" : "27", "publisher" : "BMC Genomics", "title" : "The properties of spontaneous mutations in the opportunistic pathogen &lt;i&gt;Pseudomonas aeruginosa&lt;/i&gt;", "type" : "article-journal", "volume" : "17" }, "uris" : [ "http://www.mendeley.com/documents/?uuid=0c272a42-9a81-442a-bf78-86caada96b81" ] } ], "mendeley" : { "formattedCitation" : "(Foster et al. 2013; Dillon et al. 2015; Dettman et al. 2016)", "plainTextFormattedCitation" : "(Foster et al. 2013; Dillon et al. 2015; Dettman et al. 2016)", "previouslyFormattedCitation" : "(Foster et al. 2013; Dillon et al. 2015; Dettman et al. 2016)" }, "properties" : { "noteIndex" : 0 }, "schema" : "https://github.com/citation-style-language/schema/raw/master/csl-citation.json" }</w:instrText>
      </w:r>
      <w:r>
        <w:rPr>
          <w:rFonts w:eastAsiaTheme="minorEastAsia"/>
        </w:rPr>
        <w:fldChar w:fldCharType="separate"/>
      </w:r>
      <w:r w:rsidRPr="00023DDD">
        <w:rPr>
          <w:rFonts w:eastAsiaTheme="minorEastAsia"/>
          <w:noProof/>
        </w:rPr>
        <w:t>(Foster et al. 2013; Dillon et al. 2015; Dettman et al. 2016)</w:t>
      </w:r>
      <w:r>
        <w:rPr>
          <w:rFonts w:eastAsiaTheme="minorEastAsia"/>
        </w:rPr>
        <w:fldChar w:fldCharType="end"/>
      </w:r>
      <w:r>
        <w:rPr>
          <w:rFonts w:eastAsiaTheme="minorEastAsia"/>
        </w:rPr>
        <w:t xml:space="preserve"> can generate artificial signatures of natural selection. These issues are evident in our MA experiments, where chi-square tests comparing our observed mutations with the expected ratios of coding to non-coding DNA and synonymous to nonsynonymous sites in each genome were at times inconsistent. In the </w:t>
      </w:r>
      <w:r w:rsidRPr="00031AF9">
        <w:rPr>
          <w:rFonts w:eastAsiaTheme="minorEastAsia"/>
          <w:i/>
        </w:rPr>
        <w:t>Vf</w:t>
      </w:r>
      <w:r>
        <w:rPr>
          <w:rFonts w:eastAsiaTheme="minorEastAsia"/>
        </w:rPr>
        <w:t xml:space="preserve">-wt lines, we observe an excess of non-coding indels and bpsms (Bpsm: </w:t>
      </w:r>
      <w:r>
        <w:rPr>
          <w:rFonts w:eastAsiaTheme="minorEastAsia"/>
        </w:rPr>
        <w:sym w:font="Symbol" w:char="F063"/>
      </w:r>
      <w:r>
        <w:rPr>
          <w:rFonts w:eastAsiaTheme="minorEastAsia"/>
          <w:vertAlign w:val="superscript"/>
        </w:rPr>
        <w:t>2</w:t>
      </w:r>
      <w:r>
        <w:rPr>
          <w:rFonts w:eastAsiaTheme="minorEastAsia"/>
        </w:rPr>
        <w:t xml:space="preserve"> = 4.006, d.f. = 1, p = 0.045, Indels: </w:t>
      </w:r>
      <w:r>
        <w:rPr>
          <w:rFonts w:eastAsiaTheme="minorEastAsia"/>
        </w:rPr>
        <w:sym w:font="Symbol" w:char="F063"/>
      </w:r>
      <w:r>
        <w:rPr>
          <w:rFonts w:eastAsiaTheme="minorEastAsia"/>
          <w:vertAlign w:val="superscript"/>
        </w:rPr>
        <w:t>2</w:t>
      </w:r>
      <w:r>
        <w:rPr>
          <w:rFonts w:eastAsiaTheme="minorEastAsia"/>
        </w:rPr>
        <w:t xml:space="preserve"> = 61.434, d.f. = 1, p &lt; 0.0001), while the ratio of nonsynonymous to synonymous bpsms did not differ significantly from the null expectation (</w:t>
      </w:r>
      <w:r>
        <w:rPr>
          <w:rFonts w:eastAsiaTheme="minorEastAsia"/>
        </w:rPr>
        <w:sym w:font="Symbol" w:char="F063"/>
      </w:r>
      <w:r>
        <w:rPr>
          <w:rFonts w:eastAsiaTheme="minorEastAsia"/>
          <w:vertAlign w:val="superscript"/>
        </w:rPr>
        <w:t>2</w:t>
      </w:r>
      <w:r>
        <w:rPr>
          <w:rFonts w:eastAsiaTheme="minorEastAsia"/>
        </w:rPr>
        <w:t xml:space="preserve"> = 0.907, d.f. = 1, p = 0.341). In the </w:t>
      </w:r>
      <w:r w:rsidRPr="00D34C10">
        <w:rPr>
          <w:rFonts w:eastAsiaTheme="minorEastAsia"/>
          <w:i/>
        </w:rPr>
        <w:t>Vc</w:t>
      </w:r>
      <w:r>
        <w:rPr>
          <w:rFonts w:eastAsiaTheme="minorEastAsia"/>
        </w:rPr>
        <w:t>-wt lines, non-coding bpsms are again in excess (</w:t>
      </w:r>
      <w:r>
        <w:rPr>
          <w:rFonts w:eastAsiaTheme="minorEastAsia"/>
        </w:rPr>
        <w:sym w:font="Symbol" w:char="F063"/>
      </w:r>
      <w:r>
        <w:rPr>
          <w:rFonts w:eastAsiaTheme="minorEastAsia"/>
          <w:vertAlign w:val="superscript"/>
        </w:rPr>
        <w:t>2</w:t>
      </w:r>
      <w:r>
        <w:rPr>
          <w:rFonts w:eastAsiaTheme="minorEastAsia"/>
        </w:rPr>
        <w:t xml:space="preserve"> = 8.739, d.f. = 1, p = 0.003), while the ratio of coding to non-coding indels (</w:t>
      </w:r>
      <w:r>
        <w:rPr>
          <w:rFonts w:eastAsiaTheme="minorEastAsia"/>
        </w:rPr>
        <w:sym w:font="Symbol" w:char="F063"/>
      </w:r>
      <w:r>
        <w:rPr>
          <w:rFonts w:eastAsiaTheme="minorEastAsia"/>
          <w:vertAlign w:val="superscript"/>
        </w:rPr>
        <w:t>2</w:t>
      </w:r>
      <w:r>
        <w:rPr>
          <w:rFonts w:eastAsiaTheme="minorEastAsia"/>
        </w:rPr>
        <w:t xml:space="preserve"> = 1.479, d.f. = 1, p = 0.224) and nonsynonymous to synonymous bpsms (</w:t>
      </w:r>
      <w:r>
        <w:rPr>
          <w:rFonts w:eastAsiaTheme="minorEastAsia"/>
        </w:rPr>
        <w:sym w:font="Symbol" w:char="F063"/>
      </w:r>
      <w:r>
        <w:rPr>
          <w:rFonts w:eastAsiaTheme="minorEastAsia"/>
          <w:vertAlign w:val="superscript"/>
        </w:rPr>
        <w:t>2</w:t>
      </w:r>
      <w:r>
        <w:rPr>
          <w:rFonts w:eastAsiaTheme="minorEastAsia"/>
        </w:rPr>
        <w:t xml:space="preserve"> = 1.469, d.f. = 1, p = 0.226) do not differ from the null expectation. The excess of non-coding indels and bpsms could imply that selection played a small role in eradicating coding mutations or that mismatch repair is more active in coding regions, while all other lines of evidence support that minimal selection was operating in our wt MA experiments. </w:t>
      </w:r>
    </w:p>
    <w:p w14:paraId="4E47EBE9" w14:textId="77777777" w:rsidR="00C81A5C" w:rsidRDefault="00C81A5C" w:rsidP="00C81A5C">
      <w:pPr>
        <w:spacing w:line="480" w:lineRule="auto"/>
        <w:ind w:firstLine="720"/>
        <w:jc w:val="both"/>
        <w:rPr>
          <w:rFonts w:eastAsiaTheme="minorEastAsia"/>
        </w:rPr>
      </w:pPr>
      <w:r>
        <w:rPr>
          <w:rFonts w:eastAsiaTheme="minorEastAsia"/>
        </w:rPr>
        <w:t xml:space="preserve">In the </w:t>
      </w:r>
      <w:r w:rsidRPr="00C63ECA">
        <w:rPr>
          <w:rFonts w:eastAsiaTheme="minorEastAsia"/>
          <w:i/>
        </w:rPr>
        <w:t>Vf</w:t>
      </w:r>
      <w:r>
        <w:rPr>
          <w:rFonts w:eastAsiaTheme="minorEastAsia"/>
        </w:rPr>
        <w:t>-mut lines, we observe an excess of coding bpsms (</w:t>
      </w:r>
      <w:r>
        <w:rPr>
          <w:rFonts w:eastAsiaTheme="minorEastAsia"/>
        </w:rPr>
        <w:sym w:font="Symbol" w:char="F063"/>
      </w:r>
      <w:r>
        <w:rPr>
          <w:rFonts w:eastAsiaTheme="minorEastAsia"/>
          <w:vertAlign w:val="superscript"/>
        </w:rPr>
        <w:t>2</w:t>
      </w:r>
      <w:r>
        <w:rPr>
          <w:rFonts w:eastAsiaTheme="minorEastAsia"/>
        </w:rPr>
        <w:t xml:space="preserve"> = 39.083, d.f. = 1, p &lt; 0.0001) and non-coding indels (</w:t>
      </w:r>
      <w:r>
        <w:rPr>
          <w:rFonts w:eastAsiaTheme="minorEastAsia"/>
        </w:rPr>
        <w:sym w:font="Symbol" w:char="F063"/>
      </w:r>
      <w:r>
        <w:rPr>
          <w:rFonts w:eastAsiaTheme="minorEastAsia"/>
          <w:vertAlign w:val="superscript"/>
        </w:rPr>
        <w:t>2</w:t>
      </w:r>
      <w:r>
        <w:rPr>
          <w:rFonts w:eastAsiaTheme="minorEastAsia"/>
        </w:rPr>
        <w:t xml:space="preserve"> = 206.820, d.f. = 1, p &lt; 0.0001), but the ratio of nonsynonymous to synonymous bpsms does not differ from the null expectation (</w:t>
      </w:r>
      <w:r>
        <w:rPr>
          <w:rFonts w:eastAsiaTheme="minorEastAsia"/>
        </w:rPr>
        <w:sym w:font="Symbol" w:char="F063"/>
      </w:r>
      <w:r>
        <w:rPr>
          <w:rFonts w:eastAsiaTheme="minorEastAsia"/>
          <w:vertAlign w:val="superscript"/>
        </w:rPr>
        <w:t>2</w:t>
      </w:r>
      <w:r>
        <w:rPr>
          <w:rFonts w:eastAsiaTheme="minorEastAsia"/>
        </w:rPr>
        <w:t xml:space="preserve"> = 2.534, d.f. = 1, p = 0.111). In the </w:t>
      </w:r>
      <w:r w:rsidRPr="00D34C10">
        <w:rPr>
          <w:rFonts w:eastAsiaTheme="minorEastAsia"/>
          <w:i/>
        </w:rPr>
        <w:t>Vc</w:t>
      </w:r>
      <w:r>
        <w:rPr>
          <w:rFonts w:eastAsiaTheme="minorEastAsia"/>
        </w:rPr>
        <w:t>-mut lines, we observe an excess of non-coding indels (</w:t>
      </w:r>
      <w:r>
        <w:rPr>
          <w:rFonts w:eastAsiaTheme="minorEastAsia"/>
        </w:rPr>
        <w:sym w:font="Symbol" w:char="F063"/>
      </w:r>
      <w:r>
        <w:rPr>
          <w:rFonts w:eastAsiaTheme="minorEastAsia"/>
          <w:vertAlign w:val="superscript"/>
        </w:rPr>
        <w:t>2</w:t>
      </w:r>
      <w:r>
        <w:rPr>
          <w:rFonts w:eastAsiaTheme="minorEastAsia"/>
        </w:rPr>
        <w:t xml:space="preserve"> = 123.710, d.f. = 1, p &lt; 0.0001) and synonymous bpsms (</w:t>
      </w:r>
      <w:r>
        <w:rPr>
          <w:rFonts w:eastAsiaTheme="minorEastAsia"/>
        </w:rPr>
        <w:sym w:font="Symbol" w:char="F063"/>
      </w:r>
      <w:r>
        <w:rPr>
          <w:rFonts w:eastAsiaTheme="minorEastAsia"/>
          <w:vertAlign w:val="superscript"/>
        </w:rPr>
        <w:t>2</w:t>
      </w:r>
      <w:r>
        <w:rPr>
          <w:rFonts w:eastAsiaTheme="minorEastAsia"/>
        </w:rPr>
        <w:t xml:space="preserve"> = 5.595, d.f. = 1, p = 0.018), while the ratio of coding to non-coding substitutions does not differ from the null expectation (</w:t>
      </w:r>
      <w:r>
        <w:rPr>
          <w:rFonts w:eastAsiaTheme="minorEastAsia"/>
        </w:rPr>
        <w:sym w:font="Symbol" w:char="F063"/>
      </w:r>
      <w:r>
        <w:rPr>
          <w:rFonts w:eastAsiaTheme="minorEastAsia"/>
          <w:vertAlign w:val="superscript"/>
        </w:rPr>
        <w:t>2</w:t>
      </w:r>
      <w:r>
        <w:rPr>
          <w:rFonts w:eastAsiaTheme="minorEastAsia"/>
        </w:rPr>
        <w:t xml:space="preserve"> = 2.354, d.f. = 1, p = 0.125). The excess of coding bpsms and non-coding indels observed in the </w:t>
      </w:r>
      <w:r w:rsidRPr="00D34C10">
        <w:rPr>
          <w:rFonts w:eastAsiaTheme="minorEastAsia"/>
          <w:i/>
        </w:rPr>
        <w:t>Vf</w:t>
      </w:r>
      <w:r>
        <w:rPr>
          <w:rFonts w:eastAsiaTheme="minorEastAsia"/>
        </w:rPr>
        <w:t xml:space="preserve">-mut MA experiment suggest contradictory forms of selection, since an excess of coding bpsms is a signature of positive selection, and an excess of non-coding indels is a signature of purifying selection. Both the excess of non-coding indels and synonymous substitutions observed in the </w:t>
      </w:r>
      <w:r w:rsidRPr="00D34C10">
        <w:rPr>
          <w:rFonts w:eastAsiaTheme="minorEastAsia"/>
          <w:i/>
        </w:rPr>
        <w:t>Vc</w:t>
      </w:r>
      <w:r>
        <w:rPr>
          <w:rFonts w:eastAsiaTheme="minorEastAsia"/>
        </w:rPr>
        <w:t xml:space="preserve">-mut MA experiment suggest the operation of purifying selection. Altogether, these observations suggest that selection may have played a small role in eliminating some mutations during the mutator MA experiments, however, we should not rule out the possibility that these signatures of selection were generated by non-adaptive mutational biases </w:t>
      </w:r>
      <w:r>
        <w:rPr>
          <w:rFonts w:eastAsiaTheme="minorEastAsia"/>
        </w:rPr>
        <w:fldChar w:fldCharType="begin" w:fldLock="1"/>
      </w:r>
      <w:r>
        <w:rPr>
          <w:rFonts w:eastAsiaTheme="minorEastAsia"/>
        </w:rPr>
        <w:instrText>ADDIN CSL_CITATION { "citationItems" : [ { "id" : "ITEM-1", "itemData" : { "DOI" : "10.1534/genetics.115.176834", "ISSN" : "0016-6731", "author" : [ { "dropping-particle" : "", "family" : "Dillon", "given" : "M. M.", "non-dropping-particle" : "", "parse-names" : false, "suffix" : "" }, { "dropping-particle" : "", "family" : "Sung", "given" : "W.", "non-dropping-particle" : "", "parse-names" : false, "suffix" : "" }, { "dropping-particle" : "", "family" : "Lynch", "given" : "M.", "non-dropping-particle" : "", "parse-names" : false, "suffix" : "" }, { "dropping-particle" : "", "family" : "Cooper", "given" : "V. S.", "non-dropping-particle" : "", "parse-names" : false, "suffix" : "" } ], "container-title" : "Genetics", "id" : "ITEM-1", "issue" : "3", "issued" : { "date-parts" : [ [ "2015" ] ] }, "page" : "935-946", "title" : "The rate and molecular spectrum of spontaneous mutations in the GC-rich multichromosome genome of &lt;i&gt;Burkholderia cenocepacia&lt;/i&gt;", "type" : "article-journal", "volume" : "200" }, "uris" : [ "http://www.mendeley.com/documents/?uuid=64f11f28-ff05-4dac-a1dd-e6a9a2c7ee8b" ] }, { "id" : "ITEM-2", "itemData" : { "DOI" : "10.1093/molbev/msv055", "ISSN" : "0737-4038", "author" : [ { "dropping-particle" : "", "family" : "Sung", "given" : "W.", "non-dropping-particle" : "", "parse-names" : false, "suffix" : "" }, { "dropping-particle" : "", "family" : "Ackerman", "given" : "M. S.", "non-dropping-particle" : "", "parse-names" : false, "suffix" : "" }, { "dropping-particle" : "", "family" : "Gout", "given" : "J.-F.", "non-dropping-particle" : "", "parse-names" : false, "suffix" : "" }, { "dropping-particle" : "", "family" : "Miller", "given" : "S. F.", "non-dropping-particle" : "", "parse-names" : false, "suffix" : "" }, { "dropping-particle" : "", "family" : "Williams", "given" : "E.", "non-dropping-particle" : "", "parse-names" : false, "suffix" : "" }, { "dropping-particle" : "", "family" : "Foster", "given" : "P. L.", "non-dropping-particle" : "", "parse-names" : false, "suffix" : "" }, { "dropping-particle" : "", "family" : "Lynch", "given" : "M.", "non-dropping-particle" : "", "parse-names" : false, "suffix" : "" } ], "container-title" : "Molecular Biology and Evolution", "id" : "ITEM-2", "issue" : "7", "issued" : { "date-parts" : [ [ "2015" ] ] }, "page" : "1672-1683", "title" : "Asymmetric context-dependent mutation patterns revealed through mutation-accumulation experiments", "type" : "article-journal", "volume" : "32" }, "uris" : [ "http://www.mendeley.com/documents/?uuid=1afb75de-e724-4bc4-acfb-9020ab82e0e3" ] }, { "id" : "ITEM-3", "itemData" : { "ISBN" : "2160-1836", "abstract" : "By sequencing the genomes of 34 mutation accumulation lines of a mismatch-repair defective strain of Escherichia coli that had undergone a total of 12,750 generations, we identified 1625 spontaneous base-pair substitutions spread across the E. coli genome. These mutations are not distributed at random but, instead, fall into a wave-like spatial pattern that is repeated almost exactly in mirror image in the two separately replicated halves of the bacterial chromosome. The pattern is correlated to genomic features, with mutation densities greatest in regions predicted to have high superhelicity. Superimposed upon this pattern are regional hotspots, some of which are located where replication forks may collide or be blocked. These results suggest that, as they traverse the chromosome, the two replication forks encounter parallel structural features that change the fidelity of DNA replication.", "author" : [ { "dropping-particle" : "", "family" : "Foster", "given" : "P L", "non-dropping-particle" : "", "parse-names" : false, "suffix" : "" }, { "dropping-particle" : "", "family" : "Hanson", "given" : "A J", "non-dropping-particle" : "", "parse-names" : false, "suffix" : "" }, { "dropping-particle" : "", "family" : "Lee", "given" : "H", "non-dropping-particle" : "", "parse-names" : false, "suffix" : "" }, { "dropping-particle" : "", "family" : "Popodi", "given" : "E M", "non-dropping-particle" : "", "parse-names" : false, "suffix" : "" }, { "dropping-particle" : "", "family" : "Tang", "given" : "H X", "non-dropping-particle" : "", "parse-names" : false, "suffix" : "" } ], "container-title" : "G3-Genes Genomes Genetics", "id" : "ITEM-3", "issue" : "3", "issued" : { "date-parts" : [ [ "2013" ] ] }, "language" : "English", "note" : "103WK\nTimes Cited:0\nCited References Count:44", "page" : "399-407", "title" : "On the mutational topology of the bacterial genome", "type" : "article-journal", "volume" : "3" }, "uris" : [ "http://www.mendeley.com/documents/?uuid=a69b0e64-2bc3-4150-99cf-2b2a5d99a813" ] }, { "id" : "ITEM-4", "itemData" : { "DOI" : "10.1186/s12864-015-2244-3", "ISBN" : "1286401522443", "ISSN" : "1471-2164", "author" : [ { "dropping-particle" : "", "family" : "Dettman", "given" : "Jeremy R.", "non-dropping-particle" : "", "parse-names" : false, "suffix" : "" }, { "dropping-particle" : "", "family" : "Sztepanacz", "given" : "Jacqueline L.", "non-dropping-particle" : "", "parse-names" : false, "suffix" : "" }, { "dropping-particle" : "", "family" : "Kassen", "given" : "Rees", "non-dropping-particle" : "", "parse-names" : false, "suffix" : "" } ], "container-title" : "BMC Genomics", "id" : "ITEM-4", "issue" : "1", "issued" : { "date-parts" : [ [ "2016" ] ] }, "page" : "27", "publisher" : "BMC Genomics", "title" : "The properties of spontaneous mutations in the opportunistic pathogen &lt;i&gt;Pseudomonas aeruginosa&lt;/i&gt;", "type" : "article-journal", "volume" : "17" }, "uris" : [ "http://www.mendeley.com/documents/?uuid=0c272a42-9a81-442a-bf78-86caada96b81" ] } ], "mendeley" : { "formattedCitation" : "(Foster et al. 2013; Dillon et al. 2015; Sung et al. 2015; Dettman et al. 2016)", "plainTextFormattedCitation" : "(Foster et al. 2013; Dillon et al. 2015; Sung et al. 2015; Dettman et al. 2016)", "previouslyFormattedCitation" : "(Foster et al. 2013; Dillon et al. 2015; Sung et al. 2015; Dettman et al. 2016)" }, "properties" : { "noteIndex" : 0 }, "schema" : "https://github.com/citation-style-language/schema/raw/master/csl-citation.json" }</w:instrText>
      </w:r>
      <w:r>
        <w:rPr>
          <w:rFonts w:eastAsiaTheme="minorEastAsia"/>
        </w:rPr>
        <w:fldChar w:fldCharType="separate"/>
      </w:r>
      <w:r w:rsidRPr="00023DDD">
        <w:rPr>
          <w:rFonts w:eastAsiaTheme="minorEastAsia"/>
          <w:noProof/>
        </w:rPr>
        <w:t>(Foster et al. 2013; Dillon et al. 2015; Sung et al. 2015; Dettman et al. 2016)</w:t>
      </w:r>
      <w:r>
        <w:rPr>
          <w:rFonts w:eastAsiaTheme="minorEastAsia"/>
        </w:rPr>
        <w:fldChar w:fldCharType="end"/>
      </w:r>
      <w:r>
        <w:rPr>
          <w:rFonts w:eastAsiaTheme="minorEastAsia"/>
        </w:rPr>
        <w:t>.</w:t>
      </w:r>
    </w:p>
    <w:p w14:paraId="5460C4B7" w14:textId="77777777" w:rsidR="00DC689D" w:rsidRDefault="00DC689D">
      <w:pPr>
        <w:rPr>
          <w:b/>
        </w:rPr>
      </w:pPr>
      <w:r>
        <w:rPr>
          <w:b/>
        </w:rPr>
        <w:br w:type="page"/>
      </w:r>
    </w:p>
    <w:p w14:paraId="2565E317" w14:textId="77777777" w:rsidR="00DC689D" w:rsidRDefault="00DC689D" w:rsidP="00AA503B">
      <w:pPr>
        <w:tabs>
          <w:tab w:val="left" w:pos="7650"/>
        </w:tabs>
        <w:jc w:val="both"/>
        <w:rPr>
          <w:b/>
        </w:rPr>
        <w:sectPr w:rsidR="00DC689D" w:rsidSect="00DC689D">
          <w:pgSz w:w="12240" w:h="15840"/>
          <w:pgMar w:top="1440" w:right="1440" w:bottom="1440" w:left="1440" w:header="706" w:footer="706" w:gutter="0"/>
          <w:cols w:space="708"/>
          <w:docGrid w:linePitch="360"/>
        </w:sectPr>
      </w:pPr>
    </w:p>
    <w:p w14:paraId="6F4A099B" w14:textId="638CA369" w:rsidR="00DC689D" w:rsidRDefault="00DC689D" w:rsidP="00AA503B">
      <w:pPr>
        <w:tabs>
          <w:tab w:val="left" w:pos="7650"/>
        </w:tabs>
        <w:jc w:val="both"/>
        <w:rPr>
          <w:b/>
        </w:rPr>
      </w:pPr>
      <w:r>
        <w:rPr>
          <w:b/>
        </w:rPr>
        <w:t>Supplemental Tables</w:t>
      </w:r>
    </w:p>
    <w:p w14:paraId="00BF9E4A" w14:textId="77777777" w:rsidR="00DC689D" w:rsidRDefault="00DC689D" w:rsidP="00AA503B">
      <w:pPr>
        <w:tabs>
          <w:tab w:val="left" w:pos="7650"/>
        </w:tabs>
        <w:jc w:val="both"/>
        <w:rPr>
          <w:b/>
        </w:rPr>
      </w:pPr>
    </w:p>
    <w:p w14:paraId="5BBF3A56" w14:textId="096DCD11" w:rsidR="008C39A4" w:rsidRDefault="008C39A4" w:rsidP="00AA503B">
      <w:pPr>
        <w:tabs>
          <w:tab w:val="left" w:pos="7650"/>
        </w:tabs>
        <w:jc w:val="both"/>
      </w:pPr>
      <w:r>
        <w:rPr>
          <w:b/>
        </w:rPr>
        <w:t xml:space="preserve">Table S1. </w:t>
      </w:r>
      <w:r w:rsidR="00110326" w:rsidRPr="00110326">
        <w:t xml:space="preserve">Conditional base-substitution mutation (bpsm) rates for wild-type </w:t>
      </w:r>
      <w:r w:rsidR="000451C0">
        <w:rPr>
          <w:i/>
        </w:rPr>
        <w:t>Vibrio</w:t>
      </w:r>
      <w:r w:rsidR="00110326" w:rsidRPr="00110326">
        <w:rPr>
          <w:i/>
        </w:rPr>
        <w:t xml:space="preserve"> fischeri</w:t>
      </w:r>
      <w:r w:rsidR="00110326" w:rsidRPr="00110326">
        <w:t xml:space="preserve"> and </w:t>
      </w:r>
      <w:r w:rsidR="000451C0">
        <w:rPr>
          <w:i/>
        </w:rPr>
        <w:t>Vibrio</w:t>
      </w:r>
      <w:r w:rsidR="00110326" w:rsidRPr="00110326">
        <w:rPr>
          <w:i/>
        </w:rPr>
        <w:t xml:space="preserve"> cholerae</w:t>
      </w:r>
      <w:r w:rsidR="00110326" w:rsidRPr="00110326">
        <w:t xml:space="preserve"> in different replication timing regions.</w:t>
      </w:r>
      <w:r w:rsidR="00110326" w:rsidRPr="00EF4BE6">
        <w:t xml:space="preserve"> </w:t>
      </w:r>
      <w:r w:rsidR="00110326">
        <w:t>Early chr1 regions are regions on chr1 replicated prior to the initiation of chr2 replication, late chr1 regions are regions on chr1 replicated concurrently with chr2, and chr2 regions are the bpsm rates on chr2 itself.</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0"/>
        <w:gridCol w:w="1503"/>
        <w:gridCol w:w="1348"/>
        <w:gridCol w:w="1351"/>
        <w:gridCol w:w="1348"/>
        <w:gridCol w:w="1351"/>
        <w:gridCol w:w="1348"/>
        <w:gridCol w:w="1337"/>
      </w:tblGrid>
      <w:tr w:rsidR="008C39A4" w14:paraId="2E39FFBB" w14:textId="77777777" w:rsidTr="008C39A4">
        <w:tc>
          <w:tcPr>
            <w:tcW w:w="649" w:type="pct"/>
            <w:vMerge w:val="restart"/>
            <w:tcBorders>
              <w:top w:val="single" w:sz="4" w:space="0" w:color="auto"/>
            </w:tcBorders>
            <w:vAlign w:val="center"/>
          </w:tcPr>
          <w:p w14:paraId="522DDBAB" w14:textId="11675FE9" w:rsidR="008C39A4" w:rsidRPr="00B61A69" w:rsidRDefault="008C39A4" w:rsidP="008C39A4">
            <w:pPr>
              <w:tabs>
                <w:tab w:val="left" w:pos="7650"/>
              </w:tabs>
              <w:rPr>
                <w:rFonts w:ascii="Arial" w:hAnsi="Arial" w:cs="Arial"/>
                <w:sz w:val="20"/>
              </w:rPr>
            </w:pPr>
            <w:r>
              <w:rPr>
                <w:rFonts w:ascii="Arial" w:hAnsi="Arial" w:cs="Arial"/>
                <w:sz w:val="20"/>
              </w:rPr>
              <w:t>Species</w:t>
            </w:r>
          </w:p>
        </w:tc>
        <w:tc>
          <w:tcPr>
            <w:tcW w:w="682" w:type="pct"/>
            <w:vMerge w:val="restart"/>
            <w:tcBorders>
              <w:top w:val="single" w:sz="4" w:space="0" w:color="auto"/>
            </w:tcBorders>
            <w:vAlign w:val="center"/>
          </w:tcPr>
          <w:p w14:paraId="44511493" w14:textId="77777777" w:rsidR="008C39A4" w:rsidRPr="00B61A69" w:rsidRDefault="008C39A4" w:rsidP="008C39A4">
            <w:pPr>
              <w:tabs>
                <w:tab w:val="left" w:pos="7650"/>
              </w:tabs>
              <w:ind w:right="-172"/>
              <w:rPr>
                <w:rFonts w:ascii="Arial" w:hAnsi="Arial" w:cs="Arial"/>
                <w:sz w:val="20"/>
              </w:rPr>
            </w:pPr>
            <w:r w:rsidRPr="00B61A69">
              <w:rPr>
                <w:rFonts w:ascii="Arial" w:hAnsi="Arial" w:cs="Arial"/>
                <w:sz w:val="20"/>
              </w:rPr>
              <w:t>Bps Type</w:t>
            </w:r>
          </w:p>
        </w:tc>
        <w:tc>
          <w:tcPr>
            <w:tcW w:w="1225" w:type="pct"/>
            <w:gridSpan w:val="2"/>
            <w:tcBorders>
              <w:top w:val="single" w:sz="4" w:space="0" w:color="auto"/>
            </w:tcBorders>
            <w:vAlign w:val="bottom"/>
          </w:tcPr>
          <w:p w14:paraId="758F22F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Early chr1</w:t>
            </w:r>
          </w:p>
        </w:tc>
        <w:tc>
          <w:tcPr>
            <w:tcW w:w="1225" w:type="pct"/>
            <w:gridSpan w:val="2"/>
            <w:tcBorders>
              <w:top w:val="single" w:sz="4" w:space="0" w:color="auto"/>
            </w:tcBorders>
            <w:vAlign w:val="bottom"/>
          </w:tcPr>
          <w:p w14:paraId="0F3E5114" w14:textId="77777777" w:rsidR="008C39A4" w:rsidRPr="00B61A69" w:rsidRDefault="008C39A4" w:rsidP="001048B6">
            <w:pPr>
              <w:tabs>
                <w:tab w:val="left" w:pos="7650"/>
              </w:tabs>
              <w:rPr>
                <w:rFonts w:ascii="Arial" w:hAnsi="Arial" w:cs="Arial"/>
                <w:sz w:val="20"/>
              </w:rPr>
            </w:pPr>
            <w:r w:rsidRPr="00B61A69">
              <w:rPr>
                <w:rFonts w:ascii="Arial" w:hAnsi="Arial" w:cs="Arial"/>
                <w:sz w:val="20"/>
              </w:rPr>
              <w:t>Late chr1</w:t>
            </w:r>
          </w:p>
        </w:tc>
        <w:tc>
          <w:tcPr>
            <w:tcW w:w="1219" w:type="pct"/>
            <w:gridSpan w:val="2"/>
            <w:tcBorders>
              <w:top w:val="single" w:sz="4" w:space="0" w:color="auto"/>
            </w:tcBorders>
            <w:vAlign w:val="bottom"/>
          </w:tcPr>
          <w:p w14:paraId="64B927D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Chr2</w:t>
            </w:r>
          </w:p>
        </w:tc>
      </w:tr>
      <w:tr w:rsidR="008C39A4" w14:paraId="6CD43272" w14:textId="77777777" w:rsidTr="008C39A4">
        <w:tc>
          <w:tcPr>
            <w:tcW w:w="649" w:type="pct"/>
            <w:vMerge/>
            <w:tcBorders>
              <w:bottom w:val="single" w:sz="4" w:space="0" w:color="auto"/>
            </w:tcBorders>
            <w:vAlign w:val="center"/>
          </w:tcPr>
          <w:p w14:paraId="02146B40" w14:textId="1C415505" w:rsidR="008C39A4" w:rsidRPr="00B61A69" w:rsidRDefault="008C39A4" w:rsidP="008C39A4">
            <w:pPr>
              <w:tabs>
                <w:tab w:val="left" w:pos="7650"/>
              </w:tabs>
              <w:rPr>
                <w:rFonts w:ascii="Arial" w:hAnsi="Arial" w:cs="Arial"/>
                <w:sz w:val="20"/>
              </w:rPr>
            </w:pPr>
          </w:p>
        </w:tc>
        <w:tc>
          <w:tcPr>
            <w:tcW w:w="682" w:type="pct"/>
            <w:vMerge/>
            <w:tcBorders>
              <w:bottom w:val="single" w:sz="4" w:space="0" w:color="auto"/>
            </w:tcBorders>
            <w:vAlign w:val="center"/>
          </w:tcPr>
          <w:p w14:paraId="64632035" w14:textId="77777777" w:rsidR="008C39A4" w:rsidRPr="00B61A69" w:rsidRDefault="008C39A4" w:rsidP="008C39A4">
            <w:pPr>
              <w:tabs>
                <w:tab w:val="left" w:pos="7650"/>
              </w:tabs>
              <w:rPr>
                <w:rFonts w:ascii="Arial" w:hAnsi="Arial" w:cs="Arial"/>
                <w:sz w:val="20"/>
              </w:rPr>
            </w:pPr>
          </w:p>
        </w:tc>
        <w:tc>
          <w:tcPr>
            <w:tcW w:w="612" w:type="pct"/>
            <w:tcBorders>
              <w:bottom w:val="single" w:sz="4" w:space="0" w:color="auto"/>
            </w:tcBorders>
            <w:vAlign w:val="bottom"/>
          </w:tcPr>
          <w:p w14:paraId="49D786AB"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Avg</w:t>
            </w:r>
          </w:p>
        </w:tc>
        <w:tc>
          <w:tcPr>
            <w:tcW w:w="613" w:type="pct"/>
            <w:tcBorders>
              <w:bottom w:val="single" w:sz="4" w:space="0" w:color="auto"/>
            </w:tcBorders>
            <w:vAlign w:val="bottom"/>
          </w:tcPr>
          <w:p w14:paraId="6C5630C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SEM</w:t>
            </w:r>
          </w:p>
        </w:tc>
        <w:tc>
          <w:tcPr>
            <w:tcW w:w="612" w:type="pct"/>
            <w:tcBorders>
              <w:bottom w:val="single" w:sz="4" w:space="0" w:color="auto"/>
            </w:tcBorders>
            <w:vAlign w:val="bottom"/>
          </w:tcPr>
          <w:p w14:paraId="419B0AC7"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Avg</w:t>
            </w:r>
          </w:p>
        </w:tc>
        <w:tc>
          <w:tcPr>
            <w:tcW w:w="613" w:type="pct"/>
            <w:tcBorders>
              <w:bottom w:val="single" w:sz="4" w:space="0" w:color="auto"/>
            </w:tcBorders>
            <w:vAlign w:val="bottom"/>
          </w:tcPr>
          <w:p w14:paraId="73F95A1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SEM</w:t>
            </w:r>
          </w:p>
        </w:tc>
        <w:tc>
          <w:tcPr>
            <w:tcW w:w="612" w:type="pct"/>
            <w:tcBorders>
              <w:bottom w:val="single" w:sz="4" w:space="0" w:color="auto"/>
            </w:tcBorders>
            <w:vAlign w:val="bottom"/>
          </w:tcPr>
          <w:p w14:paraId="40032B5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Avg</w:t>
            </w:r>
          </w:p>
        </w:tc>
        <w:tc>
          <w:tcPr>
            <w:tcW w:w="607" w:type="pct"/>
            <w:tcBorders>
              <w:bottom w:val="single" w:sz="4" w:space="0" w:color="auto"/>
            </w:tcBorders>
            <w:vAlign w:val="bottom"/>
          </w:tcPr>
          <w:p w14:paraId="54A22E3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SEM</w:t>
            </w:r>
          </w:p>
        </w:tc>
      </w:tr>
      <w:tr w:rsidR="008C39A4" w14:paraId="7469E39D" w14:textId="77777777" w:rsidTr="001048B6">
        <w:tc>
          <w:tcPr>
            <w:tcW w:w="649" w:type="pct"/>
            <w:tcBorders>
              <w:top w:val="single" w:sz="4" w:space="0" w:color="auto"/>
            </w:tcBorders>
          </w:tcPr>
          <w:p w14:paraId="23A03547" w14:textId="77777777" w:rsidR="008C39A4" w:rsidRPr="00B61A69" w:rsidRDefault="008C39A4" w:rsidP="001048B6">
            <w:pPr>
              <w:tabs>
                <w:tab w:val="left" w:pos="7650"/>
              </w:tabs>
              <w:rPr>
                <w:rFonts w:ascii="Arial" w:hAnsi="Arial" w:cs="Arial"/>
                <w:i/>
                <w:sz w:val="20"/>
              </w:rPr>
            </w:pPr>
            <w:r w:rsidRPr="00B61A69">
              <w:rPr>
                <w:rFonts w:ascii="Arial" w:hAnsi="Arial" w:cs="Arial"/>
                <w:i/>
                <w:sz w:val="20"/>
              </w:rPr>
              <w:t>V. fischeri</w:t>
            </w:r>
          </w:p>
        </w:tc>
        <w:tc>
          <w:tcPr>
            <w:tcW w:w="682" w:type="pct"/>
            <w:tcBorders>
              <w:top w:val="single" w:sz="4" w:space="0" w:color="auto"/>
            </w:tcBorders>
            <w:vAlign w:val="bottom"/>
          </w:tcPr>
          <w:p w14:paraId="5428B3F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A:T &gt; G:C</w:t>
            </w:r>
          </w:p>
        </w:tc>
        <w:tc>
          <w:tcPr>
            <w:tcW w:w="612" w:type="pct"/>
            <w:tcBorders>
              <w:top w:val="single" w:sz="4" w:space="0" w:color="auto"/>
            </w:tcBorders>
            <w:vAlign w:val="bottom"/>
          </w:tcPr>
          <w:p w14:paraId="388DF0E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4.25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top w:val="single" w:sz="4" w:space="0" w:color="auto"/>
            </w:tcBorders>
            <w:vAlign w:val="bottom"/>
          </w:tcPr>
          <w:p w14:paraId="385F179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1.37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top w:val="single" w:sz="4" w:space="0" w:color="auto"/>
            </w:tcBorders>
            <w:vAlign w:val="bottom"/>
          </w:tcPr>
          <w:p w14:paraId="331907F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3.57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top w:val="single" w:sz="4" w:space="0" w:color="auto"/>
            </w:tcBorders>
            <w:vAlign w:val="bottom"/>
          </w:tcPr>
          <w:p w14:paraId="6253A88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1.28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top w:val="single" w:sz="4" w:space="0" w:color="auto"/>
            </w:tcBorders>
            <w:vAlign w:val="bottom"/>
          </w:tcPr>
          <w:p w14:paraId="3E764C44" w14:textId="77777777" w:rsidR="008C39A4" w:rsidRPr="00B61A69" w:rsidRDefault="008C39A4" w:rsidP="001048B6">
            <w:pPr>
              <w:tabs>
                <w:tab w:val="left" w:pos="7650"/>
              </w:tabs>
              <w:rPr>
                <w:rFonts w:ascii="Arial" w:hAnsi="Arial" w:cs="Arial"/>
                <w:sz w:val="20"/>
              </w:rPr>
            </w:pPr>
            <w:r w:rsidRPr="00B61A69">
              <w:rPr>
                <w:rFonts w:ascii="Arial" w:hAnsi="Arial" w:cs="Arial"/>
                <w:sz w:val="20"/>
              </w:rPr>
              <w:t>5.43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tcBorders>
              <w:top w:val="single" w:sz="4" w:space="0" w:color="auto"/>
            </w:tcBorders>
            <w:vAlign w:val="bottom"/>
          </w:tcPr>
          <w:p w14:paraId="5B58B02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1.47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0CA02274" w14:textId="77777777" w:rsidTr="001048B6">
        <w:tc>
          <w:tcPr>
            <w:tcW w:w="649" w:type="pct"/>
          </w:tcPr>
          <w:p w14:paraId="1D4DE105" w14:textId="77777777" w:rsidR="008C39A4" w:rsidRPr="00B61A69" w:rsidRDefault="008C39A4" w:rsidP="001048B6">
            <w:pPr>
              <w:tabs>
                <w:tab w:val="left" w:pos="7650"/>
              </w:tabs>
              <w:rPr>
                <w:rFonts w:ascii="Arial" w:hAnsi="Arial" w:cs="Arial"/>
                <w:sz w:val="20"/>
              </w:rPr>
            </w:pPr>
          </w:p>
        </w:tc>
        <w:tc>
          <w:tcPr>
            <w:tcW w:w="682" w:type="pct"/>
            <w:vAlign w:val="bottom"/>
          </w:tcPr>
          <w:p w14:paraId="4FBE2E5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A:T</w:t>
            </w:r>
          </w:p>
        </w:tc>
        <w:tc>
          <w:tcPr>
            <w:tcW w:w="612" w:type="pct"/>
            <w:vAlign w:val="bottom"/>
          </w:tcPr>
          <w:p w14:paraId="4E04C24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1.69</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13" w:type="pct"/>
            <w:vAlign w:val="bottom"/>
          </w:tcPr>
          <w:p w14:paraId="279E159B"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3.24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76AF9FC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1.43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13" w:type="pct"/>
            <w:vAlign w:val="bottom"/>
          </w:tcPr>
          <w:p w14:paraId="4A920956"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3.74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5F7CF2F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2.24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07" w:type="pct"/>
            <w:vAlign w:val="bottom"/>
          </w:tcPr>
          <w:p w14:paraId="57810B6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4.43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10D8781A" w14:textId="77777777" w:rsidTr="001048B6">
        <w:tc>
          <w:tcPr>
            <w:tcW w:w="649" w:type="pct"/>
          </w:tcPr>
          <w:p w14:paraId="7656650C" w14:textId="77777777" w:rsidR="008C39A4" w:rsidRPr="00B61A69" w:rsidRDefault="008C39A4" w:rsidP="001048B6">
            <w:pPr>
              <w:tabs>
                <w:tab w:val="left" w:pos="7650"/>
              </w:tabs>
              <w:rPr>
                <w:rFonts w:ascii="Arial" w:hAnsi="Arial" w:cs="Arial"/>
                <w:sz w:val="20"/>
              </w:rPr>
            </w:pPr>
          </w:p>
        </w:tc>
        <w:tc>
          <w:tcPr>
            <w:tcW w:w="682" w:type="pct"/>
            <w:vAlign w:val="bottom"/>
          </w:tcPr>
          <w:p w14:paraId="6B6F844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A:T &gt; T:A</w:t>
            </w:r>
          </w:p>
        </w:tc>
        <w:tc>
          <w:tcPr>
            <w:tcW w:w="612" w:type="pct"/>
            <w:vAlign w:val="bottom"/>
          </w:tcPr>
          <w:p w14:paraId="3033836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4.25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vAlign w:val="bottom"/>
          </w:tcPr>
          <w:p w14:paraId="43458D0B"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4.30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vAlign w:val="bottom"/>
          </w:tcPr>
          <w:p w14:paraId="5E40AB6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9.78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vAlign w:val="bottom"/>
          </w:tcPr>
          <w:p w14:paraId="71FD3290" w14:textId="77777777" w:rsidR="008C39A4" w:rsidRPr="00B61A69" w:rsidRDefault="008C39A4" w:rsidP="001048B6">
            <w:pPr>
              <w:tabs>
                <w:tab w:val="left" w:pos="7650"/>
              </w:tabs>
              <w:rPr>
                <w:rFonts w:ascii="Arial" w:hAnsi="Arial" w:cs="Arial"/>
                <w:sz w:val="20"/>
              </w:rPr>
            </w:pPr>
            <w:r w:rsidRPr="00B61A69">
              <w:rPr>
                <w:rFonts w:ascii="Arial" w:hAnsi="Arial" w:cs="Arial"/>
                <w:sz w:val="20"/>
              </w:rPr>
              <w:t>6.91</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vAlign w:val="bottom"/>
          </w:tcPr>
          <w:p w14:paraId="1989A07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4.80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07" w:type="pct"/>
            <w:vAlign w:val="bottom"/>
          </w:tcPr>
          <w:p w14:paraId="4FDDF3A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4.85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r>
      <w:tr w:rsidR="008C39A4" w14:paraId="7D233D32" w14:textId="77777777" w:rsidTr="001048B6">
        <w:tc>
          <w:tcPr>
            <w:tcW w:w="649" w:type="pct"/>
          </w:tcPr>
          <w:p w14:paraId="5B8446A6" w14:textId="77777777" w:rsidR="008C39A4" w:rsidRPr="00B61A69" w:rsidRDefault="008C39A4" w:rsidP="001048B6">
            <w:pPr>
              <w:tabs>
                <w:tab w:val="left" w:pos="7650"/>
              </w:tabs>
              <w:rPr>
                <w:rFonts w:ascii="Arial" w:hAnsi="Arial" w:cs="Arial"/>
                <w:sz w:val="20"/>
              </w:rPr>
            </w:pPr>
          </w:p>
        </w:tc>
        <w:tc>
          <w:tcPr>
            <w:tcW w:w="682" w:type="pct"/>
            <w:vAlign w:val="bottom"/>
          </w:tcPr>
          <w:p w14:paraId="7C9739E6"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T:A</w:t>
            </w:r>
          </w:p>
        </w:tc>
        <w:tc>
          <w:tcPr>
            <w:tcW w:w="612" w:type="pct"/>
            <w:vAlign w:val="bottom"/>
          </w:tcPr>
          <w:p w14:paraId="50952676"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13" w:type="pct"/>
            <w:vAlign w:val="bottom"/>
          </w:tcPr>
          <w:p w14:paraId="04F16B17"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2.73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3CA60C40"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1.98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13" w:type="pct"/>
            <w:vAlign w:val="bottom"/>
          </w:tcPr>
          <w:p w14:paraId="4930C43F"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4.12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6EE58C4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2.78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07" w:type="pct"/>
            <w:vAlign w:val="bottom"/>
          </w:tcPr>
          <w:p w14:paraId="7743BFD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4.86</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20666FDC" w14:textId="77777777" w:rsidTr="001048B6">
        <w:tc>
          <w:tcPr>
            <w:tcW w:w="649" w:type="pct"/>
          </w:tcPr>
          <w:p w14:paraId="4BEF99E1" w14:textId="77777777" w:rsidR="008C39A4" w:rsidRPr="00B61A69" w:rsidRDefault="008C39A4" w:rsidP="001048B6">
            <w:pPr>
              <w:tabs>
                <w:tab w:val="left" w:pos="7650"/>
              </w:tabs>
              <w:rPr>
                <w:rFonts w:ascii="Arial" w:hAnsi="Arial" w:cs="Arial"/>
                <w:sz w:val="20"/>
              </w:rPr>
            </w:pPr>
          </w:p>
        </w:tc>
        <w:tc>
          <w:tcPr>
            <w:tcW w:w="682" w:type="pct"/>
            <w:vAlign w:val="bottom"/>
          </w:tcPr>
          <w:p w14:paraId="41EF2A2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A:T &gt; C:G</w:t>
            </w:r>
          </w:p>
        </w:tc>
        <w:tc>
          <w:tcPr>
            <w:tcW w:w="612" w:type="pct"/>
            <w:vAlign w:val="bottom"/>
          </w:tcPr>
          <w:p w14:paraId="0F31C73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3.83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03B4F5D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5047A63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3.91</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67C0BB3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1.47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67DBE787"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3.84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vAlign w:val="bottom"/>
          </w:tcPr>
          <w:p w14:paraId="7A4E141C"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1.44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64DCA430" w14:textId="77777777" w:rsidTr="001048B6">
        <w:tc>
          <w:tcPr>
            <w:tcW w:w="649" w:type="pct"/>
            <w:tcBorders>
              <w:bottom w:val="single" w:sz="4" w:space="0" w:color="auto"/>
            </w:tcBorders>
          </w:tcPr>
          <w:p w14:paraId="14DDFDCD" w14:textId="77777777" w:rsidR="008C39A4" w:rsidRPr="00B61A69" w:rsidRDefault="008C39A4" w:rsidP="001048B6">
            <w:pPr>
              <w:tabs>
                <w:tab w:val="left" w:pos="7650"/>
              </w:tabs>
              <w:rPr>
                <w:rFonts w:ascii="Arial" w:hAnsi="Arial" w:cs="Arial"/>
                <w:sz w:val="20"/>
              </w:rPr>
            </w:pPr>
          </w:p>
        </w:tc>
        <w:tc>
          <w:tcPr>
            <w:tcW w:w="682" w:type="pct"/>
            <w:tcBorders>
              <w:bottom w:val="single" w:sz="4" w:space="0" w:color="auto"/>
            </w:tcBorders>
            <w:vAlign w:val="bottom"/>
          </w:tcPr>
          <w:p w14:paraId="235E61C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C:G</w:t>
            </w:r>
          </w:p>
        </w:tc>
        <w:tc>
          <w:tcPr>
            <w:tcW w:w="612" w:type="pct"/>
            <w:tcBorders>
              <w:bottom w:val="single" w:sz="4" w:space="0" w:color="auto"/>
            </w:tcBorders>
            <w:vAlign w:val="bottom"/>
          </w:tcPr>
          <w:p w14:paraId="76D949D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4.54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bottom w:val="single" w:sz="4" w:space="0" w:color="auto"/>
            </w:tcBorders>
            <w:vAlign w:val="bottom"/>
          </w:tcPr>
          <w:p w14:paraId="08F261F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1.87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bottom w:val="single" w:sz="4" w:space="0" w:color="auto"/>
            </w:tcBorders>
            <w:vAlign w:val="bottom"/>
          </w:tcPr>
          <w:p w14:paraId="55A54F0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1.58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bottom w:val="single" w:sz="4" w:space="0" w:color="auto"/>
            </w:tcBorders>
            <w:vAlign w:val="bottom"/>
          </w:tcPr>
          <w:p w14:paraId="41D54A2F"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bottom w:val="single" w:sz="4" w:space="0" w:color="auto"/>
            </w:tcBorders>
            <w:vAlign w:val="bottom"/>
          </w:tcPr>
          <w:p w14:paraId="2E8BBEF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8.17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07" w:type="pct"/>
            <w:tcBorders>
              <w:bottom w:val="single" w:sz="4" w:space="0" w:color="auto"/>
            </w:tcBorders>
            <w:vAlign w:val="bottom"/>
          </w:tcPr>
          <w:p w14:paraId="422A1E6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8.26</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r>
      <w:tr w:rsidR="008C39A4" w14:paraId="6F0DE5B1" w14:textId="77777777" w:rsidTr="001048B6">
        <w:tc>
          <w:tcPr>
            <w:tcW w:w="649" w:type="pct"/>
            <w:tcBorders>
              <w:top w:val="single" w:sz="4" w:space="0" w:color="auto"/>
            </w:tcBorders>
          </w:tcPr>
          <w:p w14:paraId="7F93B8AC" w14:textId="77777777" w:rsidR="008C39A4" w:rsidRPr="00B61A69" w:rsidRDefault="008C39A4" w:rsidP="001048B6">
            <w:pPr>
              <w:tabs>
                <w:tab w:val="left" w:pos="7650"/>
              </w:tabs>
              <w:rPr>
                <w:rFonts w:ascii="Arial" w:hAnsi="Arial" w:cs="Arial"/>
                <w:i/>
                <w:sz w:val="20"/>
              </w:rPr>
            </w:pPr>
            <w:r w:rsidRPr="00B61A69">
              <w:rPr>
                <w:rFonts w:ascii="Arial" w:hAnsi="Arial" w:cs="Arial"/>
                <w:i/>
                <w:sz w:val="20"/>
              </w:rPr>
              <w:t>V. cholerae</w:t>
            </w:r>
          </w:p>
        </w:tc>
        <w:tc>
          <w:tcPr>
            <w:tcW w:w="682" w:type="pct"/>
            <w:tcBorders>
              <w:top w:val="single" w:sz="4" w:space="0" w:color="auto"/>
            </w:tcBorders>
            <w:vAlign w:val="bottom"/>
          </w:tcPr>
          <w:p w14:paraId="6120AC9F" w14:textId="77777777" w:rsidR="008C39A4" w:rsidRPr="00B61A69" w:rsidRDefault="008C39A4" w:rsidP="001048B6">
            <w:pPr>
              <w:tabs>
                <w:tab w:val="left" w:pos="7650"/>
              </w:tabs>
              <w:rPr>
                <w:rFonts w:ascii="Arial" w:hAnsi="Arial" w:cs="Arial"/>
                <w:sz w:val="20"/>
              </w:rPr>
            </w:pPr>
            <w:r w:rsidRPr="00B61A69">
              <w:rPr>
                <w:rFonts w:ascii="Arial" w:hAnsi="Arial" w:cs="Arial"/>
                <w:sz w:val="20"/>
              </w:rPr>
              <w:t xml:space="preserve">A:T &gt; G:C </w:t>
            </w:r>
          </w:p>
        </w:tc>
        <w:tc>
          <w:tcPr>
            <w:tcW w:w="612" w:type="pct"/>
            <w:tcBorders>
              <w:top w:val="single" w:sz="4" w:space="0" w:color="auto"/>
            </w:tcBorders>
            <w:vAlign w:val="bottom"/>
          </w:tcPr>
          <w:p w14:paraId="3D8B3FA1"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3.89</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top w:val="single" w:sz="4" w:space="0" w:color="auto"/>
            </w:tcBorders>
            <w:vAlign w:val="bottom"/>
          </w:tcPr>
          <w:p w14:paraId="2214E49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top w:val="single" w:sz="4" w:space="0" w:color="auto"/>
            </w:tcBorders>
            <w:vAlign w:val="bottom"/>
          </w:tcPr>
          <w:p w14:paraId="169284A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2.74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tcBorders>
              <w:top w:val="single" w:sz="4" w:space="0" w:color="auto"/>
            </w:tcBorders>
            <w:vAlign w:val="bottom"/>
          </w:tcPr>
          <w:p w14:paraId="0DF7773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tcBorders>
              <w:top w:val="single" w:sz="4" w:space="0" w:color="auto"/>
            </w:tcBorders>
            <w:vAlign w:val="bottom"/>
          </w:tcPr>
          <w:p w14:paraId="69A591E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1.08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tcBorders>
              <w:top w:val="single" w:sz="4" w:space="0" w:color="auto"/>
            </w:tcBorders>
            <w:vAlign w:val="bottom"/>
          </w:tcPr>
          <w:p w14:paraId="0FDB671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7.67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r>
      <w:tr w:rsidR="008C39A4" w14:paraId="2C6AB7C0" w14:textId="77777777" w:rsidTr="001048B6">
        <w:tc>
          <w:tcPr>
            <w:tcW w:w="649" w:type="pct"/>
          </w:tcPr>
          <w:p w14:paraId="0331B46F" w14:textId="77777777" w:rsidR="008C39A4" w:rsidRPr="00B61A69" w:rsidRDefault="008C39A4" w:rsidP="001048B6">
            <w:pPr>
              <w:tabs>
                <w:tab w:val="left" w:pos="7650"/>
              </w:tabs>
              <w:rPr>
                <w:rFonts w:ascii="Arial" w:hAnsi="Arial" w:cs="Arial"/>
                <w:sz w:val="20"/>
              </w:rPr>
            </w:pPr>
          </w:p>
        </w:tc>
        <w:tc>
          <w:tcPr>
            <w:tcW w:w="682" w:type="pct"/>
            <w:vAlign w:val="bottom"/>
          </w:tcPr>
          <w:p w14:paraId="24E3C6F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A:T</w:t>
            </w:r>
          </w:p>
        </w:tc>
        <w:tc>
          <w:tcPr>
            <w:tcW w:w="612" w:type="pct"/>
            <w:vAlign w:val="bottom"/>
          </w:tcPr>
          <w:p w14:paraId="5155A86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13" w:type="pct"/>
            <w:vAlign w:val="bottom"/>
          </w:tcPr>
          <w:p w14:paraId="5E29AB97"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1.85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7FA8A096" w14:textId="77777777" w:rsidR="008C39A4" w:rsidRPr="00B61A69" w:rsidRDefault="008C39A4" w:rsidP="001048B6">
            <w:pPr>
              <w:tabs>
                <w:tab w:val="left" w:pos="7650"/>
              </w:tabs>
              <w:rPr>
                <w:rFonts w:ascii="Arial" w:hAnsi="Arial" w:cs="Arial"/>
                <w:sz w:val="20"/>
              </w:rPr>
            </w:pPr>
            <w:r w:rsidRPr="00B61A69">
              <w:rPr>
                <w:rFonts w:ascii="Arial" w:hAnsi="Arial" w:cs="Arial"/>
                <w:sz w:val="20"/>
              </w:rPr>
              <w:t>7.92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03258771"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2.11</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51C9B1B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1.23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-10</w:t>
            </w:r>
          </w:p>
        </w:tc>
        <w:tc>
          <w:tcPr>
            <w:tcW w:w="607" w:type="pct"/>
            <w:vAlign w:val="bottom"/>
          </w:tcPr>
          <w:p w14:paraId="41B3DE7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2.50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4E22505C" w14:textId="77777777" w:rsidTr="001048B6">
        <w:tc>
          <w:tcPr>
            <w:tcW w:w="649" w:type="pct"/>
          </w:tcPr>
          <w:p w14:paraId="15181AE4" w14:textId="77777777" w:rsidR="008C39A4" w:rsidRPr="00B61A69" w:rsidRDefault="008C39A4" w:rsidP="001048B6">
            <w:pPr>
              <w:tabs>
                <w:tab w:val="left" w:pos="7650"/>
              </w:tabs>
              <w:rPr>
                <w:rFonts w:ascii="Arial" w:hAnsi="Arial" w:cs="Arial"/>
                <w:sz w:val="20"/>
              </w:rPr>
            </w:pPr>
          </w:p>
        </w:tc>
        <w:tc>
          <w:tcPr>
            <w:tcW w:w="682" w:type="pct"/>
            <w:vAlign w:val="bottom"/>
          </w:tcPr>
          <w:p w14:paraId="58CC640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A:T &gt; T:A</w:t>
            </w:r>
          </w:p>
        </w:tc>
        <w:tc>
          <w:tcPr>
            <w:tcW w:w="612" w:type="pct"/>
            <w:vAlign w:val="bottom"/>
          </w:tcPr>
          <w:p w14:paraId="34258FFF" w14:textId="77777777" w:rsidR="008C39A4" w:rsidRPr="00B61A69" w:rsidRDefault="008C39A4" w:rsidP="001048B6">
            <w:pPr>
              <w:tabs>
                <w:tab w:val="left" w:pos="7650"/>
              </w:tabs>
              <w:rPr>
                <w:rFonts w:ascii="Arial" w:hAnsi="Arial" w:cs="Arial"/>
                <w:sz w:val="20"/>
              </w:rPr>
            </w:pPr>
            <w:r w:rsidRPr="00B61A69">
              <w:rPr>
                <w:rFonts w:ascii="Arial" w:hAnsi="Arial" w:cs="Arial"/>
                <w:sz w:val="20"/>
              </w:rPr>
              <w:t>9.72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vAlign w:val="bottom"/>
          </w:tcPr>
          <w:p w14:paraId="2011F95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5.55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vAlign w:val="bottom"/>
          </w:tcPr>
          <w:p w14:paraId="6C98227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5.47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vAlign w:val="bottom"/>
          </w:tcPr>
          <w:p w14:paraId="236E826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5.52</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vAlign w:val="bottom"/>
          </w:tcPr>
          <w:p w14:paraId="618E51C2"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1.08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vAlign w:val="bottom"/>
          </w:tcPr>
          <w:p w14:paraId="2BE3683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7.66</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r>
      <w:tr w:rsidR="008C39A4" w14:paraId="57BED415" w14:textId="77777777" w:rsidTr="001048B6">
        <w:tc>
          <w:tcPr>
            <w:tcW w:w="649" w:type="pct"/>
          </w:tcPr>
          <w:p w14:paraId="1571CAB7" w14:textId="77777777" w:rsidR="008C39A4" w:rsidRPr="00B61A69" w:rsidRDefault="008C39A4" w:rsidP="001048B6">
            <w:pPr>
              <w:tabs>
                <w:tab w:val="left" w:pos="7650"/>
              </w:tabs>
              <w:rPr>
                <w:rFonts w:ascii="Arial" w:hAnsi="Arial" w:cs="Arial"/>
                <w:sz w:val="20"/>
              </w:rPr>
            </w:pPr>
          </w:p>
        </w:tc>
        <w:tc>
          <w:tcPr>
            <w:tcW w:w="682" w:type="pct"/>
            <w:vAlign w:val="bottom"/>
          </w:tcPr>
          <w:p w14:paraId="497A9A8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T:A</w:t>
            </w:r>
          </w:p>
        </w:tc>
        <w:tc>
          <w:tcPr>
            <w:tcW w:w="612" w:type="pct"/>
            <w:vAlign w:val="bottom"/>
          </w:tcPr>
          <w:p w14:paraId="7F873B41"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4.18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01F92361"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4DCEEFF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3.05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16D8CBA0"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1.59</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16086B0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4.93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vAlign w:val="bottom"/>
          </w:tcPr>
          <w:p w14:paraId="5BFEC45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1.63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08DF67F3" w14:textId="77777777" w:rsidTr="001048B6">
        <w:tc>
          <w:tcPr>
            <w:tcW w:w="649" w:type="pct"/>
          </w:tcPr>
          <w:p w14:paraId="4EDB1659" w14:textId="77777777" w:rsidR="008C39A4" w:rsidRPr="00B61A69" w:rsidRDefault="008C39A4" w:rsidP="001048B6">
            <w:pPr>
              <w:tabs>
                <w:tab w:val="left" w:pos="7650"/>
              </w:tabs>
              <w:rPr>
                <w:rFonts w:ascii="Arial" w:hAnsi="Arial" w:cs="Arial"/>
                <w:sz w:val="20"/>
              </w:rPr>
            </w:pPr>
          </w:p>
        </w:tc>
        <w:tc>
          <w:tcPr>
            <w:tcW w:w="682" w:type="pct"/>
            <w:vAlign w:val="bottom"/>
          </w:tcPr>
          <w:p w14:paraId="45F543A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A:T &gt; C:G</w:t>
            </w:r>
          </w:p>
        </w:tc>
        <w:tc>
          <w:tcPr>
            <w:tcW w:w="612" w:type="pct"/>
            <w:vAlign w:val="bottom"/>
          </w:tcPr>
          <w:p w14:paraId="6D321A8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1.94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3631000B" w14:textId="77777777" w:rsidR="008C39A4" w:rsidRPr="00B61A69" w:rsidRDefault="008C39A4" w:rsidP="001048B6">
            <w:pPr>
              <w:tabs>
                <w:tab w:val="left" w:pos="7650"/>
              </w:tabs>
              <w:rPr>
                <w:rFonts w:ascii="Arial" w:hAnsi="Arial" w:cs="Arial"/>
                <w:sz w:val="20"/>
              </w:rPr>
            </w:pPr>
            <w:r w:rsidRPr="00B61A69">
              <w:rPr>
                <w:rFonts w:ascii="Arial" w:hAnsi="Arial" w:cs="Arial"/>
                <w:sz w:val="20"/>
              </w:rPr>
              <w:t>8.91</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vAlign w:val="bottom"/>
          </w:tcPr>
          <w:p w14:paraId="10DB6CA8" w14:textId="77777777" w:rsidR="008C39A4" w:rsidRPr="00B61A69" w:rsidRDefault="008C39A4" w:rsidP="001048B6">
            <w:pPr>
              <w:tabs>
                <w:tab w:val="left" w:pos="7650"/>
              </w:tabs>
              <w:rPr>
                <w:rFonts w:ascii="Arial" w:hAnsi="Arial" w:cs="Arial"/>
                <w:sz w:val="20"/>
              </w:rPr>
            </w:pPr>
            <w:r w:rsidRPr="00B61A69">
              <w:rPr>
                <w:rFonts w:ascii="Arial" w:hAnsi="Arial" w:cs="Arial"/>
                <w:sz w:val="20"/>
              </w:rPr>
              <w:t>2.74</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3" w:type="pct"/>
            <w:vAlign w:val="bottom"/>
          </w:tcPr>
          <w:p w14:paraId="4CE42785"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1.18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12" w:type="pct"/>
            <w:vAlign w:val="bottom"/>
          </w:tcPr>
          <w:p w14:paraId="67CD05E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3.25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vAlign w:val="bottom"/>
          </w:tcPr>
          <w:p w14:paraId="3F67B6DF"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1.68</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r w:rsidR="008C39A4" w14:paraId="1438199B" w14:textId="77777777" w:rsidTr="001048B6">
        <w:tc>
          <w:tcPr>
            <w:tcW w:w="649" w:type="pct"/>
            <w:tcBorders>
              <w:bottom w:val="single" w:sz="4" w:space="0" w:color="auto"/>
            </w:tcBorders>
          </w:tcPr>
          <w:p w14:paraId="7DA38E12" w14:textId="77777777" w:rsidR="008C39A4" w:rsidRPr="00B61A69" w:rsidRDefault="008C39A4" w:rsidP="001048B6">
            <w:pPr>
              <w:tabs>
                <w:tab w:val="left" w:pos="7650"/>
              </w:tabs>
              <w:rPr>
                <w:rFonts w:ascii="Arial" w:hAnsi="Arial" w:cs="Arial"/>
                <w:sz w:val="20"/>
              </w:rPr>
            </w:pPr>
          </w:p>
        </w:tc>
        <w:tc>
          <w:tcPr>
            <w:tcW w:w="682" w:type="pct"/>
            <w:tcBorders>
              <w:bottom w:val="single" w:sz="4" w:space="0" w:color="auto"/>
            </w:tcBorders>
            <w:vAlign w:val="bottom"/>
          </w:tcPr>
          <w:p w14:paraId="068E3C9B" w14:textId="77777777" w:rsidR="008C39A4" w:rsidRPr="00B61A69" w:rsidRDefault="008C39A4" w:rsidP="001048B6">
            <w:pPr>
              <w:tabs>
                <w:tab w:val="left" w:pos="7650"/>
              </w:tabs>
              <w:rPr>
                <w:rFonts w:ascii="Arial" w:hAnsi="Arial" w:cs="Arial"/>
                <w:sz w:val="20"/>
              </w:rPr>
            </w:pPr>
            <w:r w:rsidRPr="00B61A69">
              <w:rPr>
                <w:rFonts w:ascii="Arial" w:hAnsi="Arial" w:cs="Arial"/>
                <w:sz w:val="20"/>
              </w:rPr>
              <w:t>G:C &gt; C:G</w:t>
            </w:r>
          </w:p>
        </w:tc>
        <w:tc>
          <w:tcPr>
            <w:tcW w:w="612" w:type="pct"/>
            <w:tcBorders>
              <w:bottom w:val="single" w:sz="4" w:space="0" w:color="auto"/>
            </w:tcBorders>
            <w:vAlign w:val="bottom"/>
          </w:tcPr>
          <w:p w14:paraId="19B7C7B9" w14:textId="77777777" w:rsidR="008C39A4" w:rsidRPr="00B61A69" w:rsidRDefault="008C39A4" w:rsidP="001048B6">
            <w:pPr>
              <w:tabs>
                <w:tab w:val="left" w:pos="7650"/>
              </w:tabs>
              <w:rPr>
                <w:rFonts w:ascii="Arial" w:hAnsi="Arial" w:cs="Arial"/>
                <w:sz w:val="20"/>
              </w:rPr>
            </w:pPr>
            <w:r w:rsidRPr="00B61A69">
              <w:rPr>
                <w:rFonts w:ascii="Arial" w:hAnsi="Arial" w:cs="Arial"/>
                <w:sz w:val="20"/>
              </w:rPr>
              <w:t>6.97</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tcBorders>
              <w:bottom w:val="single" w:sz="4" w:space="0" w:color="auto"/>
            </w:tcBorders>
            <w:vAlign w:val="bottom"/>
          </w:tcPr>
          <w:p w14:paraId="3A75CDA3" w14:textId="77777777" w:rsidR="008C39A4" w:rsidRPr="00B61A69" w:rsidRDefault="008C39A4" w:rsidP="001048B6">
            <w:pPr>
              <w:tabs>
                <w:tab w:val="left" w:pos="7650"/>
              </w:tabs>
              <w:rPr>
                <w:rFonts w:ascii="Arial" w:hAnsi="Arial" w:cs="Arial"/>
                <w:sz w:val="20"/>
              </w:rPr>
            </w:pPr>
            <w:r w:rsidRPr="00B61A69">
              <w:rPr>
                <w:rFonts w:ascii="Arial" w:hAnsi="Arial" w:cs="Arial"/>
                <w:sz w:val="20"/>
              </w:rPr>
              <w:t>4.93</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tcBorders>
              <w:bottom w:val="single" w:sz="4" w:space="0" w:color="auto"/>
            </w:tcBorders>
            <w:vAlign w:val="bottom"/>
          </w:tcPr>
          <w:p w14:paraId="545EC05A" w14:textId="77777777" w:rsidR="008C39A4" w:rsidRPr="00B61A69" w:rsidRDefault="008C39A4" w:rsidP="001048B6">
            <w:pPr>
              <w:tabs>
                <w:tab w:val="left" w:pos="7650"/>
              </w:tabs>
              <w:rPr>
                <w:rFonts w:ascii="Arial" w:hAnsi="Arial" w:cs="Arial"/>
                <w:sz w:val="20"/>
              </w:rPr>
            </w:pPr>
            <w:r w:rsidRPr="00B61A69">
              <w:rPr>
                <w:rFonts w:ascii="Arial" w:hAnsi="Arial" w:cs="Arial"/>
                <w:sz w:val="20"/>
              </w:rPr>
              <w:t>6.10</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3" w:type="pct"/>
            <w:tcBorders>
              <w:bottom w:val="single" w:sz="4" w:space="0" w:color="auto"/>
            </w:tcBorders>
            <w:vAlign w:val="bottom"/>
          </w:tcPr>
          <w:p w14:paraId="52062A3D" w14:textId="77777777" w:rsidR="008C39A4" w:rsidRPr="00B61A69" w:rsidRDefault="008C39A4" w:rsidP="001048B6">
            <w:pPr>
              <w:tabs>
                <w:tab w:val="left" w:pos="7650"/>
              </w:tabs>
              <w:rPr>
                <w:rFonts w:ascii="Arial" w:hAnsi="Arial" w:cs="Arial"/>
                <w:sz w:val="20"/>
              </w:rPr>
            </w:pPr>
            <w:r w:rsidRPr="00B61A69">
              <w:rPr>
                <w:rFonts w:ascii="Arial" w:hAnsi="Arial" w:cs="Arial"/>
                <w:sz w:val="20"/>
              </w:rPr>
              <w:t>6.16</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-12</w:t>
            </w:r>
          </w:p>
        </w:tc>
        <w:tc>
          <w:tcPr>
            <w:tcW w:w="612" w:type="pct"/>
            <w:tcBorders>
              <w:bottom w:val="single" w:sz="4" w:space="0" w:color="auto"/>
            </w:tcBorders>
            <w:vAlign w:val="bottom"/>
          </w:tcPr>
          <w:p w14:paraId="518F556E"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1.85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c>
          <w:tcPr>
            <w:tcW w:w="607" w:type="pct"/>
            <w:tcBorders>
              <w:bottom w:val="single" w:sz="4" w:space="0" w:color="auto"/>
            </w:tcBorders>
            <w:vAlign w:val="bottom"/>
          </w:tcPr>
          <w:p w14:paraId="02CD2CB0" w14:textId="77777777" w:rsidR="008C39A4" w:rsidRPr="00B61A69" w:rsidRDefault="008C39A4" w:rsidP="001048B6">
            <w:pPr>
              <w:tabs>
                <w:tab w:val="left" w:pos="7650"/>
              </w:tabs>
              <w:rPr>
                <w:rFonts w:ascii="Arial" w:hAnsi="Arial" w:cs="Arial"/>
                <w:sz w:val="20"/>
              </w:rPr>
            </w:pPr>
            <w:r w:rsidRPr="00B61A69">
              <w:rPr>
                <w:rFonts w:ascii="Arial" w:hAnsi="Arial" w:cs="Arial"/>
                <w:sz w:val="20"/>
              </w:rPr>
              <w:t>1.05</w:t>
            </w:r>
            <w:r w:rsidRPr="00B61A69">
              <w:rPr>
                <w:rFonts w:ascii="Arial" w:hAnsi="Arial" w:cs="Arial"/>
                <w:sz w:val="20"/>
              </w:rPr>
              <w:sym w:font="Symbol" w:char="F0B4"/>
            </w:r>
            <w:r w:rsidRPr="00B61A69">
              <w:rPr>
                <w:rFonts w:ascii="Arial" w:hAnsi="Arial" w:cs="Arial"/>
                <w:sz w:val="20"/>
              </w:rPr>
              <w:t>10</w:t>
            </w:r>
            <w:r w:rsidRPr="00B61A69">
              <w:rPr>
                <w:rFonts w:ascii="Arial" w:hAnsi="Arial" w:cs="Arial"/>
                <w:sz w:val="20"/>
                <w:vertAlign w:val="superscript"/>
              </w:rPr>
              <w:t>-11</w:t>
            </w:r>
          </w:p>
        </w:tc>
      </w:tr>
    </w:tbl>
    <w:p w14:paraId="33860DB2" w14:textId="6E4851C6" w:rsidR="000C55F4" w:rsidRDefault="000C55F4">
      <w:pPr>
        <w:rPr>
          <w:rFonts w:ascii="Times New Roman" w:hAnsi="Times New Roman" w:cs="Times New Roman"/>
          <w:b/>
          <w:lang w:val="en-CA"/>
        </w:rPr>
      </w:pPr>
    </w:p>
    <w:p w14:paraId="67760AF8" w14:textId="77777777" w:rsidR="000C55F4" w:rsidRDefault="000C55F4">
      <w:pPr>
        <w:rPr>
          <w:rFonts w:ascii="Times New Roman" w:hAnsi="Times New Roman" w:cs="Times New Roman"/>
          <w:b/>
          <w:lang w:val="en-CA"/>
        </w:rPr>
      </w:pPr>
      <w:r>
        <w:rPr>
          <w:rFonts w:ascii="Times New Roman" w:hAnsi="Times New Roman" w:cs="Times New Roman"/>
          <w:b/>
          <w:lang w:val="en-CA"/>
        </w:rPr>
        <w:br w:type="page"/>
      </w:r>
    </w:p>
    <w:p w14:paraId="3CC59A7B" w14:textId="1A7068CD" w:rsidR="000C55F4" w:rsidRDefault="000C55F4" w:rsidP="00AA503B">
      <w:pPr>
        <w:tabs>
          <w:tab w:val="left" w:pos="7650"/>
        </w:tabs>
        <w:jc w:val="both"/>
        <w:rPr>
          <w:rFonts w:eastAsiaTheme="minorEastAsia"/>
        </w:rPr>
      </w:pPr>
      <w:r>
        <w:rPr>
          <w:b/>
        </w:rPr>
        <w:t xml:space="preserve">Table S2. </w:t>
      </w:r>
      <w:r w:rsidR="00110326" w:rsidRPr="00110326">
        <w:t xml:space="preserve">Relative frequencies of insertion-deletion mutations </w:t>
      </w:r>
      <w:r w:rsidR="000451C0">
        <w:t xml:space="preserve">(indels) </w:t>
      </w:r>
      <w:r w:rsidR="00110326" w:rsidRPr="00110326">
        <w:t xml:space="preserve">observed in the wild-type and mutator mutation accumulation experiments with </w:t>
      </w:r>
      <w:r w:rsidR="000451C0">
        <w:rPr>
          <w:i/>
        </w:rPr>
        <w:t>Vibrio</w:t>
      </w:r>
      <w:r w:rsidR="00110326" w:rsidRPr="00110326">
        <w:rPr>
          <w:i/>
        </w:rPr>
        <w:t xml:space="preserve"> fischeri</w:t>
      </w:r>
      <w:r w:rsidR="00110326" w:rsidRPr="00110326">
        <w:t xml:space="preserve"> and </w:t>
      </w:r>
      <w:r w:rsidR="000451C0">
        <w:rPr>
          <w:i/>
        </w:rPr>
        <w:t>Vibrio</w:t>
      </w:r>
      <w:r w:rsidR="00110326" w:rsidRPr="00110326">
        <w:rPr>
          <w:i/>
        </w:rPr>
        <w:t xml:space="preserve"> cholerae</w:t>
      </w:r>
      <w:r w:rsidR="00110326" w:rsidRPr="00110326">
        <w:t>.</w:t>
      </w:r>
      <w:r w:rsidR="00110326">
        <w:t xml:space="preserve"> </w:t>
      </w:r>
      <w:r w:rsidR="00110326">
        <w:rPr>
          <w:rFonts w:eastAsiaTheme="minorEastAsia"/>
        </w:rPr>
        <w:t>Chi-square tests were conducted to test whether indels in each size category were significantly over-represented in the mutator lineages after correcting for differences in total number of sites analyzed across all lineages and the number of generations in the wild-type and mutator experiments.</w:t>
      </w:r>
    </w:p>
    <w:tbl>
      <w:tblPr>
        <w:tblStyle w:val="TableGrid"/>
        <w:tblW w:w="5000" w:type="pct"/>
        <w:tblLook w:val="04A0" w:firstRow="1" w:lastRow="0" w:firstColumn="1" w:lastColumn="0" w:noHBand="0" w:noVBand="1"/>
      </w:tblPr>
      <w:tblGrid>
        <w:gridCol w:w="1578"/>
        <w:gridCol w:w="1130"/>
        <w:gridCol w:w="1196"/>
        <w:gridCol w:w="1212"/>
        <w:gridCol w:w="1227"/>
        <w:gridCol w:w="1276"/>
        <w:gridCol w:w="1500"/>
        <w:gridCol w:w="842"/>
        <w:gridCol w:w="1055"/>
      </w:tblGrid>
      <w:tr w:rsidR="00950B0C" w14:paraId="05C46A4C" w14:textId="77777777" w:rsidTr="00950B0C">
        <w:tc>
          <w:tcPr>
            <w:tcW w:w="716" w:type="pct"/>
            <w:vMerge w:val="restart"/>
            <w:tcBorders>
              <w:top w:val="single" w:sz="4" w:space="0" w:color="auto"/>
              <w:left w:val="nil"/>
              <w:right w:val="nil"/>
            </w:tcBorders>
            <w:vAlign w:val="center"/>
          </w:tcPr>
          <w:p w14:paraId="1087D972" w14:textId="76139474" w:rsidR="00950B0C" w:rsidRPr="00A1221B" w:rsidRDefault="00950B0C" w:rsidP="00950B0C">
            <w:pPr>
              <w:tabs>
                <w:tab w:val="left" w:pos="7650"/>
              </w:tabs>
              <w:rPr>
                <w:rFonts w:ascii="Arial" w:hAnsi="Arial" w:cs="Arial"/>
                <w:sz w:val="20"/>
              </w:rPr>
            </w:pPr>
            <w:r>
              <w:rPr>
                <w:rFonts w:ascii="Arial" w:hAnsi="Arial" w:cs="Arial"/>
                <w:sz w:val="20"/>
              </w:rPr>
              <w:t>Species</w:t>
            </w:r>
          </w:p>
        </w:tc>
        <w:tc>
          <w:tcPr>
            <w:tcW w:w="513" w:type="pct"/>
            <w:tcBorders>
              <w:top w:val="single" w:sz="4" w:space="0" w:color="auto"/>
              <w:left w:val="nil"/>
              <w:bottom w:val="nil"/>
              <w:right w:val="nil"/>
            </w:tcBorders>
          </w:tcPr>
          <w:p w14:paraId="46AD98B8" w14:textId="035843BF" w:rsidR="00950B0C" w:rsidRPr="00A1221B" w:rsidRDefault="00950B0C" w:rsidP="00A1221B">
            <w:pPr>
              <w:tabs>
                <w:tab w:val="left" w:pos="7650"/>
              </w:tabs>
              <w:rPr>
                <w:rFonts w:ascii="Arial" w:hAnsi="Arial" w:cs="Arial"/>
                <w:sz w:val="20"/>
              </w:rPr>
            </w:pPr>
            <w:r>
              <w:rPr>
                <w:rFonts w:ascii="Arial" w:hAnsi="Arial" w:cs="Arial"/>
                <w:sz w:val="20"/>
              </w:rPr>
              <w:t>Indel</w:t>
            </w:r>
          </w:p>
        </w:tc>
        <w:tc>
          <w:tcPr>
            <w:tcW w:w="1093" w:type="pct"/>
            <w:gridSpan w:val="2"/>
            <w:tcBorders>
              <w:top w:val="single" w:sz="4" w:space="0" w:color="auto"/>
              <w:left w:val="nil"/>
              <w:bottom w:val="nil"/>
              <w:right w:val="nil"/>
            </w:tcBorders>
          </w:tcPr>
          <w:p w14:paraId="09D84E70" w14:textId="63FEE469" w:rsidR="00950B0C" w:rsidRPr="00A1221B" w:rsidRDefault="00950B0C" w:rsidP="00A1221B">
            <w:pPr>
              <w:tabs>
                <w:tab w:val="left" w:pos="7650"/>
              </w:tabs>
              <w:rPr>
                <w:rFonts w:ascii="Arial" w:hAnsi="Arial" w:cs="Arial"/>
                <w:sz w:val="20"/>
              </w:rPr>
            </w:pPr>
            <w:r>
              <w:rPr>
                <w:rFonts w:ascii="Arial" w:hAnsi="Arial" w:cs="Arial"/>
                <w:sz w:val="20"/>
              </w:rPr>
              <w:t>Indels Observed</w:t>
            </w:r>
          </w:p>
        </w:tc>
        <w:tc>
          <w:tcPr>
            <w:tcW w:w="1136" w:type="pct"/>
            <w:gridSpan w:val="2"/>
            <w:tcBorders>
              <w:top w:val="single" w:sz="4" w:space="0" w:color="auto"/>
              <w:left w:val="nil"/>
              <w:bottom w:val="nil"/>
              <w:right w:val="nil"/>
            </w:tcBorders>
          </w:tcPr>
          <w:p w14:paraId="73BEE560" w14:textId="23BB77DB" w:rsidR="00950B0C" w:rsidRPr="00A1221B" w:rsidRDefault="00950B0C" w:rsidP="00171F59">
            <w:pPr>
              <w:tabs>
                <w:tab w:val="left" w:pos="7650"/>
              </w:tabs>
              <w:rPr>
                <w:rFonts w:ascii="Arial" w:hAnsi="Arial" w:cs="Arial"/>
                <w:sz w:val="20"/>
              </w:rPr>
            </w:pPr>
            <w:r>
              <w:rPr>
                <w:rFonts w:ascii="Arial" w:hAnsi="Arial" w:cs="Arial"/>
                <w:sz w:val="20"/>
              </w:rPr>
              <w:t>Expected Frequencies</w:t>
            </w:r>
          </w:p>
        </w:tc>
        <w:tc>
          <w:tcPr>
            <w:tcW w:w="681" w:type="pct"/>
            <w:vMerge w:val="restart"/>
            <w:tcBorders>
              <w:top w:val="single" w:sz="4" w:space="0" w:color="auto"/>
              <w:left w:val="nil"/>
              <w:right w:val="nil"/>
            </w:tcBorders>
            <w:vAlign w:val="center"/>
          </w:tcPr>
          <w:p w14:paraId="7D728889" w14:textId="34B77364" w:rsidR="00950B0C" w:rsidRPr="00A1221B" w:rsidRDefault="00950B0C" w:rsidP="00950B0C">
            <w:pPr>
              <w:tabs>
                <w:tab w:val="left" w:pos="7650"/>
              </w:tabs>
              <w:rPr>
                <w:rFonts w:ascii="Arial" w:hAnsi="Arial" w:cs="Arial"/>
                <w:sz w:val="20"/>
              </w:rPr>
            </w:pPr>
            <w:r w:rsidRPr="00A1221B">
              <w:rPr>
                <w:rFonts w:ascii="Arial" w:eastAsiaTheme="minorEastAsia" w:hAnsi="Arial" w:cs="Arial"/>
                <w:sz w:val="20"/>
              </w:rPr>
              <w:sym w:font="Symbol" w:char="F063"/>
            </w:r>
            <w:r w:rsidRPr="00A1221B">
              <w:rPr>
                <w:rFonts w:ascii="Arial" w:eastAsiaTheme="minorEastAsia" w:hAnsi="Arial" w:cs="Arial"/>
                <w:sz w:val="20"/>
                <w:vertAlign w:val="superscript"/>
              </w:rPr>
              <w:t>2</w:t>
            </w:r>
          </w:p>
        </w:tc>
        <w:tc>
          <w:tcPr>
            <w:tcW w:w="382" w:type="pct"/>
            <w:vMerge w:val="restart"/>
            <w:tcBorders>
              <w:top w:val="single" w:sz="4" w:space="0" w:color="auto"/>
              <w:left w:val="nil"/>
              <w:right w:val="nil"/>
            </w:tcBorders>
            <w:vAlign w:val="center"/>
          </w:tcPr>
          <w:p w14:paraId="2DECE8EE" w14:textId="38E8DD16" w:rsidR="00950B0C" w:rsidRPr="00A1221B" w:rsidRDefault="00950B0C" w:rsidP="00950B0C">
            <w:pPr>
              <w:tabs>
                <w:tab w:val="left" w:pos="7650"/>
              </w:tabs>
              <w:rPr>
                <w:rFonts w:ascii="Arial" w:hAnsi="Arial" w:cs="Arial"/>
                <w:sz w:val="20"/>
              </w:rPr>
            </w:pPr>
            <w:r>
              <w:rPr>
                <w:rFonts w:ascii="Arial" w:hAnsi="Arial" w:cs="Arial"/>
                <w:sz w:val="20"/>
              </w:rPr>
              <w:t>df</w:t>
            </w:r>
          </w:p>
        </w:tc>
        <w:tc>
          <w:tcPr>
            <w:tcW w:w="479" w:type="pct"/>
            <w:vMerge w:val="restart"/>
            <w:tcBorders>
              <w:top w:val="single" w:sz="4" w:space="0" w:color="auto"/>
              <w:left w:val="nil"/>
              <w:right w:val="nil"/>
            </w:tcBorders>
            <w:vAlign w:val="center"/>
          </w:tcPr>
          <w:p w14:paraId="74B0C15C" w14:textId="48A94743" w:rsidR="00950B0C" w:rsidRPr="00A1221B" w:rsidRDefault="00950B0C" w:rsidP="00950B0C">
            <w:pPr>
              <w:tabs>
                <w:tab w:val="left" w:pos="7650"/>
              </w:tabs>
              <w:rPr>
                <w:rFonts w:ascii="Arial" w:hAnsi="Arial" w:cs="Arial"/>
                <w:sz w:val="20"/>
              </w:rPr>
            </w:pPr>
            <w:r>
              <w:rPr>
                <w:rFonts w:ascii="Arial" w:hAnsi="Arial" w:cs="Arial"/>
                <w:sz w:val="20"/>
              </w:rPr>
              <w:t>p</w:t>
            </w:r>
          </w:p>
        </w:tc>
      </w:tr>
      <w:tr w:rsidR="00950B0C" w14:paraId="66014AB6" w14:textId="77777777" w:rsidTr="00841917">
        <w:tc>
          <w:tcPr>
            <w:tcW w:w="716" w:type="pct"/>
            <w:vMerge/>
            <w:tcBorders>
              <w:left w:val="nil"/>
              <w:bottom w:val="single" w:sz="4" w:space="0" w:color="auto"/>
              <w:right w:val="nil"/>
            </w:tcBorders>
          </w:tcPr>
          <w:p w14:paraId="5B2EA380" w14:textId="29DF4981" w:rsidR="00950B0C" w:rsidRPr="00A1221B" w:rsidRDefault="00950B0C" w:rsidP="00A1221B">
            <w:pPr>
              <w:tabs>
                <w:tab w:val="left" w:pos="7650"/>
              </w:tabs>
              <w:rPr>
                <w:rFonts w:ascii="Arial" w:hAnsi="Arial" w:cs="Arial"/>
                <w:sz w:val="20"/>
              </w:rPr>
            </w:pPr>
          </w:p>
        </w:tc>
        <w:tc>
          <w:tcPr>
            <w:tcW w:w="513" w:type="pct"/>
            <w:tcBorders>
              <w:top w:val="nil"/>
              <w:left w:val="nil"/>
              <w:bottom w:val="single" w:sz="4" w:space="0" w:color="auto"/>
              <w:right w:val="nil"/>
            </w:tcBorders>
          </w:tcPr>
          <w:p w14:paraId="274340B1" w14:textId="00E023B6" w:rsidR="00950B0C" w:rsidRPr="00A1221B" w:rsidRDefault="00950B0C" w:rsidP="00A1221B">
            <w:pPr>
              <w:tabs>
                <w:tab w:val="left" w:pos="7650"/>
              </w:tabs>
              <w:rPr>
                <w:rFonts w:ascii="Arial" w:hAnsi="Arial" w:cs="Arial"/>
                <w:sz w:val="20"/>
              </w:rPr>
            </w:pPr>
            <w:r>
              <w:rPr>
                <w:rFonts w:ascii="Arial" w:hAnsi="Arial" w:cs="Arial"/>
                <w:sz w:val="20"/>
              </w:rPr>
              <w:t>Length</w:t>
            </w:r>
          </w:p>
        </w:tc>
        <w:tc>
          <w:tcPr>
            <w:tcW w:w="543" w:type="pct"/>
            <w:tcBorders>
              <w:top w:val="nil"/>
              <w:left w:val="nil"/>
              <w:bottom w:val="single" w:sz="4" w:space="0" w:color="auto"/>
              <w:right w:val="nil"/>
            </w:tcBorders>
          </w:tcPr>
          <w:p w14:paraId="5A157BF3" w14:textId="686715B2" w:rsidR="00950B0C" w:rsidRPr="00A1221B" w:rsidRDefault="00950B0C" w:rsidP="00A1221B">
            <w:pPr>
              <w:tabs>
                <w:tab w:val="left" w:pos="7650"/>
              </w:tabs>
              <w:rPr>
                <w:rFonts w:ascii="Arial" w:hAnsi="Arial" w:cs="Arial"/>
                <w:sz w:val="20"/>
              </w:rPr>
            </w:pPr>
            <w:r>
              <w:rPr>
                <w:rFonts w:ascii="Arial" w:hAnsi="Arial" w:cs="Arial"/>
                <w:sz w:val="20"/>
              </w:rPr>
              <w:t>Wt</w:t>
            </w:r>
          </w:p>
        </w:tc>
        <w:tc>
          <w:tcPr>
            <w:tcW w:w="550" w:type="pct"/>
            <w:tcBorders>
              <w:top w:val="nil"/>
              <w:left w:val="nil"/>
              <w:bottom w:val="single" w:sz="4" w:space="0" w:color="auto"/>
              <w:right w:val="nil"/>
            </w:tcBorders>
          </w:tcPr>
          <w:p w14:paraId="0540F538" w14:textId="0BEF3B9F" w:rsidR="00950B0C" w:rsidRPr="00A1221B" w:rsidRDefault="00950B0C" w:rsidP="00A1221B">
            <w:pPr>
              <w:tabs>
                <w:tab w:val="left" w:pos="7650"/>
              </w:tabs>
              <w:rPr>
                <w:rFonts w:ascii="Arial" w:hAnsi="Arial" w:cs="Arial"/>
                <w:sz w:val="20"/>
              </w:rPr>
            </w:pPr>
            <w:r>
              <w:rPr>
                <w:rFonts w:ascii="Arial" w:hAnsi="Arial" w:cs="Arial"/>
                <w:sz w:val="20"/>
              </w:rPr>
              <w:t>Mut</w:t>
            </w:r>
          </w:p>
        </w:tc>
        <w:tc>
          <w:tcPr>
            <w:tcW w:w="557" w:type="pct"/>
            <w:tcBorders>
              <w:top w:val="nil"/>
              <w:left w:val="nil"/>
              <w:bottom w:val="single" w:sz="4" w:space="0" w:color="auto"/>
              <w:right w:val="nil"/>
            </w:tcBorders>
          </w:tcPr>
          <w:p w14:paraId="280C13F3" w14:textId="6F7D663B" w:rsidR="00950B0C" w:rsidRPr="00A1221B" w:rsidRDefault="00950B0C" w:rsidP="00A1221B">
            <w:pPr>
              <w:tabs>
                <w:tab w:val="left" w:pos="7650"/>
              </w:tabs>
              <w:rPr>
                <w:rFonts w:ascii="Arial" w:hAnsi="Arial" w:cs="Arial"/>
                <w:sz w:val="20"/>
              </w:rPr>
            </w:pPr>
            <w:r>
              <w:rPr>
                <w:rFonts w:ascii="Arial" w:hAnsi="Arial" w:cs="Arial"/>
                <w:sz w:val="20"/>
              </w:rPr>
              <w:t>Wt</w:t>
            </w:r>
          </w:p>
        </w:tc>
        <w:tc>
          <w:tcPr>
            <w:tcW w:w="579" w:type="pct"/>
            <w:tcBorders>
              <w:top w:val="nil"/>
              <w:left w:val="nil"/>
              <w:bottom w:val="single" w:sz="4" w:space="0" w:color="auto"/>
              <w:right w:val="nil"/>
            </w:tcBorders>
          </w:tcPr>
          <w:p w14:paraId="72662A5D" w14:textId="65B2E714" w:rsidR="00950B0C" w:rsidRPr="00A1221B" w:rsidRDefault="00950B0C" w:rsidP="00A1221B">
            <w:pPr>
              <w:tabs>
                <w:tab w:val="left" w:pos="7650"/>
              </w:tabs>
              <w:rPr>
                <w:rFonts w:ascii="Arial" w:hAnsi="Arial" w:cs="Arial"/>
                <w:sz w:val="20"/>
              </w:rPr>
            </w:pPr>
            <w:r>
              <w:rPr>
                <w:rFonts w:ascii="Arial" w:hAnsi="Arial" w:cs="Arial"/>
                <w:sz w:val="20"/>
              </w:rPr>
              <w:t>Mut</w:t>
            </w:r>
          </w:p>
        </w:tc>
        <w:tc>
          <w:tcPr>
            <w:tcW w:w="681" w:type="pct"/>
            <w:vMerge/>
            <w:tcBorders>
              <w:left w:val="nil"/>
              <w:bottom w:val="single" w:sz="4" w:space="0" w:color="auto"/>
              <w:right w:val="nil"/>
            </w:tcBorders>
            <w:vAlign w:val="center"/>
          </w:tcPr>
          <w:p w14:paraId="547430DD" w14:textId="10C3704A" w:rsidR="00950B0C" w:rsidRPr="00A1221B" w:rsidRDefault="00950B0C" w:rsidP="00950B0C">
            <w:pPr>
              <w:tabs>
                <w:tab w:val="left" w:pos="7650"/>
              </w:tabs>
              <w:rPr>
                <w:rFonts w:ascii="Arial" w:hAnsi="Arial" w:cs="Arial"/>
                <w:sz w:val="20"/>
              </w:rPr>
            </w:pPr>
          </w:p>
        </w:tc>
        <w:tc>
          <w:tcPr>
            <w:tcW w:w="382" w:type="pct"/>
            <w:vMerge/>
            <w:tcBorders>
              <w:left w:val="nil"/>
              <w:bottom w:val="single" w:sz="4" w:space="0" w:color="auto"/>
              <w:right w:val="nil"/>
            </w:tcBorders>
            <w:vAlign w:val="center"/>
          </w:tcPr>
          <w:p w14:paraId="08836A87" w14:textId="710DC91A" w:rsidR="00950B0C" w:rsidRPr="00A1221B" w:rsidRDefault="00950B0C" w:rsidP="00950B0C">
            <w:pPr>
              <w:tabs>
                <w:tab w:val="left" w:pos="7650"/>
              </w:tabs>
              <w:rPr>
                <w:rFonts w:ascii="Arial" w:hAnsi="Arial" w:cs="Arial"/>
                <w:sz w:val="20"/>
              </w:rPr>
            </w:pPr>
          </w:p>
        </w:tc>
        <w:tc>
          <w:tcPr>
            <w:tcW w:w="479" w:type="pct"/>
            <w:vMerge/>
            <w:tcBorders>
              <w:left w:val="nil"/>
              <w:bottom w:val="single" w:sz="4" w:space="0" w:color="auto"/>
              <w:right w:val="nil"/>
            </w:tcBorders>
            <w:vAlign w:val="center"/>
          </w:tcPr>
          <w:p w14:paraId="349A6129" w14:textId="3288E440" w:rsidR="00950B0C" w:rsidRPr="00A1221B" w:rsidRDefault="00950B0C" w:rsidP="00950B0C">
            <w:pPr>
              <w:tabs>
                <w:tab w:val="left" w:pos="7650"/>
              </w:tabs>
              <w:rPr>
                <w:rFonts w:ascii="Arial" w:hAnsi="Arial" w:cs="Arial"/>
                <w:sz w:val="20"/>
              </w:rPr>
            </w:pPr>
          </w:p>
        </w:tc>
      </w:tr>
      <w:tr w:rsidR="00FC42AF" w14:paraId="6C5B6D82" w14:textId="77777777" w:rsidTr="00950B0C">
        <w:trPr>
          <w:trHeight w:val="188"/>
        </w:trPr>
        <w:tc>
          <w:tcPr>
            <w:tcW w:w="716" w:type="pct"/>
            <w:tcBorders>
              <w:top w:val="single" w:sz="4" w:space="0" w:color="auto"/>
              <w:left w:val="nil"/>
              <w:bottom w:val="nil"/>
              <w:right w:val="nil"/>
            </w:tcBorders>
          </w:tcPr>
          <w:p w14:paraId="5A9C1CA1" w14:textId="11E3A18D" w:rsidR="00171F59" w:rsidRPr="00FC42AF" w:rsidRDefault="00171F59" w:rsidP="00A1221B">
            <w:pPr>
              <w:tabs>
                <w:tab w:val="left" w:pos="7650"/>
              </w:tabs>
              <w:rPr>
                <w:rFonts w:ascii="Arial" w:hAnsi="Arial" w:cs="Arial"/>
                <w:i/>
                <w:sz w:val="20"/>
              </w:rPr>
            </w:pPr>
            <w:r w:rsidRPr="00FC42AF">
              <w:rPr>
                <w:rFonts w:ascii="Arial" w:hAnsi="Arial" w:cs="Arial"/>
                <w:i/>
                <w:sz w:val="20"/>
              </w:rPr>
              <w:t>V. fischeri</w:t>
            </w:r>
          </w:p>
        </w:tc>
        <w:tc>
          <w:tcPr>
            <w:tcW w:w="513" w:type="pct"/>
            <w:tcBorders>
              <w:top w:val="single" w:sz="4" w:space="0" w:color="auto"/>
              <w:left w:val="nil"/>
              <w:bottom w:val="nil"/>
              <w:right w:val="nil"/>
            </w:tcBorders>
          </w:tcPr>
          <w:p w14:paraId="320337A3" w14:textId="3D3D0F31" w:rsidR="00171F59" w:rsidRPr="00A1221B" w:rsidRDefault="00171F59" w:rsidP="009729F7">
            <w:pPr>
              <w:tabs>
                <w:tab w:val="decimal" w:pos="236"/>
              </w:tabs>
              <w:rPr>
                <w:rFonts w:ascii="Arial" w:hAnsi="Arial" w:cs="Arial"/>
                <w:sz w:val="20"/>
              </w:rPr>
            </w:pPr>
            <w:r>
              <w:rPr>
                <w:rFonts w:ascii="Arial" w:hAnsi="Arial" w:cs="Arial"/>
                <w:sz w:val="20"/>
              </w:rPr>
              <w:t>1</w:t>
            </w:r>
          </w:p>
        </w:tc>
        <w:tc>
          <w:tcPr>
            <w:tcW w:w="543" w:type="pct"/>
            <w:tcBorders>
              <w:top w:val="single" w:sz="4" w:space="0" w:color="auto"/>
              <w:left w:val="nil"/>
              <w:bottom w:val="nil"/>
              <w:right w:val="nil"/>
            </w:tcBorders>
          </w:tcPr>
          <w:p w14:paraId="407A3850" w14:textId="6C19856E" w:rsidR="00171F59" w:rsidRPr="00A1221B" w:rsidRDefault="00171F59" w:rsidP="00804477">
            <w:pPr>
              <w:tabs>
                <w:tab w:val="decimal" w:pos="208"/>
                <w:tab w:val="left" w:pos="7650"/>
              </w:tabs>
              <w:rPr>
                <w:rFonts w:ascii="Arial" w:hAnsi="Arial" w:cs="Arial"/>
                <w:sz w:val="20"/>
              </w:rPr>
            </w:pPr>
            <w:r>
              <w:rPr>
                <w:rFonts w:ascii="Arial" w:hAnsi="Arial" w:cs="Arial"/>
                <w:sz w:val="20"/>
              </w:rPr>
              <w:t>12</w:t>
            </w:r>
          </w:p>
        </w:tc>
        <w:tc>
          <w:tcPr>
            <w:tcW w:w="550" w:type="pct"/>
            <w:tcBorders>
              <w:top w:val="single" w:sz="4" w:space="0" w:color="auto"/>
              <w:left w:val="nil"/>
              <w:bottom w:val="nil"/>
              <w:right w:val="nil"/>
            </w:tcBorders>
          </w:tcPr>
          <w:p w14:paraId="2BCF3592" w14:textId="0921A71D" w:rsidR="00171F59" w:rsidRPr="00A1221B" w:rsidRDefault="00171F59" w:rsidP="00E470F8">
            <w:pPr>
              <w:tabs>
                <w:tab w:val="decimal" w:pos="385"/>
              </w:tabs>
              <w:rPr>
                <w:rFonts w:ascii="Arial" w:hAnsi="Arial" w:cs="Arial"/>
                <w:sz w:val="20"/>
              </w:rPr>
            </w:pPr>
            <w:r>
              <w:rPr>
                <w:rFonts w:ascii="Arial" w:hAnsi="Arial" w:cs="Arial"/>
                <w:sz w:val="20"/>
              </w:rPr>
              <w:t>352</w:t>
            </w:r>
          </w:p>
        </w:tc>
        <w:tc>
          <w:tcPr>
            <w:tcW w:w="557" w:type="pct"/>
            <w:tcBorders>
              <w:top w:val="single" w:sz="4" w:space="0" w:color="auto"/>
              <w:left w:val="nil"/>
              <w:bottom w:val="nil"/>
              <w:right w:val="nil"/>
            </w:tcBorders>
          </w:tcPr>
          <w:p w14:paraId="4746FA14" w14:textId="58E49616"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single" w:sz="4" w:space="0" w:color="auto"/>
              <w:left w:val="nil"/>
              <w:bottom w:val="nil"/>
              <w:right w:val="nil"/>
            </w:tcBorders>
          </w:tcPr>
          <w:p w14:paraId="08F4BB85" w14:textId="545EC1CD"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single" w:sz="4" w:space="0" w:color="auto"/>
              <w:left w:val="nil"/>
              <w:bottom w:val="nil"/>
              <w:right w:val="nil"/>
            </w:tcBorders>
          </w:tcPr>
          <w:p w14:paraId="2FCA8029" w14:textId="111506FF" w:rsidR="00171F59" w:rsidRPr="004235BC" w:rsidRDefault="00804477" w:rsidP="00804477">
            <w:pPr>
              <w:tabs>
                <w:tab w:val="decimal" w:pos="433"/>
              </w:tabs>
              <w:rPr>
                <w:rFonts w:ascii="Arial" w:hAnsi="Arial" w:cs="Arial"/>
                <w:sz w:val="20"/>
              </w:rPr>
            </w:pPr>
            <w:r>
              <w:rPr>
                <w:rFonts w:ascii="Arial" w:hAnsi="Arial" w:cs="Arial"/>
                <w:sz w:val="20"/>
              </w:rPr>
              <w:t>5</w:t>
            </w:r>
            <w:r w:rsidR="004235BC" w:rsidRPr="004235BC">
              <w:rPr>
                <w:rFonts w:ascii="Arial" w:eastAsiaTheme="minorEastAsia" w:hAnsi="Arial" w:cs="Arial"/>
                <w:sz w:val="20"/>
              </w:rPr>
              <w:t>460</w:t>
            </w:r>
            <w:r>
              <w:rPr>
                <w:rFonts w:ascii="Arial" w:hAnsi="Arial" w:cs="Arial"/>
                <w:sz w:val="20"/>
              </w:rPr>
              <w:t>.000</w:t>
            </w:r>
          </w:p>
        </w:tc>
        <w:tc>
          <w:tcPr>
            <w:tcW w:w="382" w:type="pct"/>
            <w:tcBorders>
              <w:top w:val="single" w:sz="4" w:space="0" w:color="auto"/>
              <w:left w:val="nil"/>
              <w:bottom w:val="nil"/>
              <w:right w:val="nil"/>
            </w:tcBorders>
          </w:tcPr>
          <w:p w14:paraId="06A36A22" w14:textId="3A613CBF"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single" w:sz="4" w:space="0" w:color="auto"/>
              <w:left w:val="nil"/>
              <w:bottom w:val="nil"/>
              <w:right w:val="nil"/>
            </w:tcBorders>
          </w:tcPr>
          <w:p w14:paraId="462B4789" w14:textId="04E75980" w:rsidR="00171F59" w:rsidRPr="00A1221B" w:rsidRDefault="004235BC" w:rsidP="00E470F8">
            <w:pPr>
              <w:tabs>
                <w:tab w:val="decimal" w:pos="297"/>
              </w:tabs>
              <w:rPr>
                <w:rFonts w:ascii="Arial" w:hAnsi="Arial" w:cs="Arial"/>
                <w:sz w:val="20"/>
              </w:rPr>
            </w:pPr>
            <w:r>
              <w:rPr>
                <w:rFonts w:ascii="Arial" w:hAnsi="Arial" w:cs="Arial"/>
                <w:sz w:val="20"/>
              </w:rPr>
              <w:t>&lt;0.0001</w:t>
            </w:r>
          </w:p>
        </w:tc>
      </w:tr>
      <w:tr w:rsidR="00FC42AF" w14:paraId="1D4A2E92" w14:textId="77777777" w:rsidTr="00950B0C">
        <w:tc>
          <w:tcPr>
            <w:tcW w:w="716" w:type="pct"/>
            <w:tcBorders>
              <w:top w:val="nil"/>
              <w:left w:val="nil"/>
              <w:bottom w:val="nil"/>
              <w:right w:val="nil"/>
            </w:tcBorders>
          </w:tcPr>
          <w:p w14:paraId="0A850FB6"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2DB879C8" w14:textId="4CB36E78" w:rsidR="00171F59" w:rsidRPr="00A1221B" w:rsidRDefault="00171F59" w:rsidP="009729F7">
            <w:pPr>
              <w:tabs>
                <w:tab w:val="decimal" w:pos="236"/>
              </w:tabs>
              <w:rPr>
                <w:rFonts w:ascii="Arial" w:hAnsi="Arial" w:cs="Arial"/>
                <w:sz w:val="20"/>
              </w:rPr>
            </w:pPr>
            <w:r>
              <w:rPr>
                <w:rFonts w:ascii="Arial" w:hAnsi="Arial" w:cs="Arial"/>
                <w:sz w:val="20"/>
              </w:rPr>
              <w:t>2</w:t>
            </w:r>
          </w:p>
        </w:tc>
        <w:tc>
          <w:tcPr>
            <w:tcW w:w="543" w:type="pct"/>
            <w:tcBorders>
              <w:top w:val="nil"/>
              <w:left w:val="nil"/>
              <w:bottom w:val="nil"/>
              <w:right w:val="nil"/>
            </w:tcBorders>
          </w:tcPr>
          <w:p w14:paraId="1924BE22" w14:textId="6390ABC5"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0</w:t>
            </w:r>
          </w:p>
        </w:tc>
        <w:tc>
          <w:tcPr>
            <w:tcW w:w="550" w:type="pct"/>
            <w:tcBorders>
              <w:top w:val="nil"/>
              <w:left w:val="nil"/>
              <w:bottom w:val="nil"/>
              <w:right w:val="nil"/>
            </w:tcBorders>
          </w:tcPr>
          <w:p w14:paraId="319ED4FA" w14:textId="6B14AA59" w:rsidR="00171F59" w:rsidRPr="00A1221B" w:rsidRDefault="00171F59" w:rsidP="00E470F8">
            <w:pPr>
              <w:tabs>
                <w:tab w:val="decimal" w:pos="385"/>
              </w:tabs>
              <w:rPr>
                <w:rFonts w:ascii="Arial" w:hAnsi="Arial" w:cs="Arial"/>
                <w:sz w:val="20"/>
              </w:rPr>
            </w:pPr>
            <w:r>
              <w:rPr>
                <w:rFonts w:ascii="Arial" w:hAnsi="Arial" w:cs="Arial"/>
                <w:sz w:val="20"/>
              </w:rPr>
              <w:t>11</w:t>
            </w:r>
          </w:p>
        </w:tc>
        <w:tc>
          <w:tcPr>
            <w:tcW w:w="557" w:type="pct"/>
            <w:tcBorders>
              <w:top w:val="nil"/>
              <w:left w:val="nil"/>
              <w:bottom w:val="nil"/>
              <w:right w:val="nil"/>
            </w:tcBorders>
          </w:tcPr>
          <w:p w14:paraId="355D3E42" w14:textId="2F610F1F"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552A2FBC" w14:textId="398DD4CE"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4E761D42" w14:textId="6EBA25F9" w:rsidR="00171F59" w:rsidRPr="00A1221B" w:rsidRDefault="00804477" w:rsidP="00804477">
            <w:pPr>
              <w:tabs>
                <w:tab w:val="decimal" w:pos="433"/>
              </w:tabs>
              <w:rPr>
                <w:rFonts w:ascii="Arial" w:hAnsi="Arial" w:cs="Arial"/>
                <w:sz w:val="20"/>
              </w:rPr>
            </w:pPr>
            <w:r>
              <w:rPr>
                <w:rFonts w:ascii="Arial" w:hAnsi="Arial" w:cs="Arial"/>
                <w:sz w:val="20"/>
              </w:rPr>
              <w:t>177.200</w:t>
            </w:r>
          </w:p>
        </w:tc>
        <w:tc>
          <w:tcPr>
            <w:tcW w:w="382" w:type="pct"/>
            <w:tcBorders>
              <w:top w:val="nil"/>
              <w:left w:val="nil"/>
              <w:bottom w:val="nil"/>
              <w:right w:val="nil"/>
            </w:tcBorders>
          </w:tcPr>
          <w:p w14:paraId="244D3E47" w14:textId="3F643C89"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425AE057" w14:textId="67BA4358" w:rsidR="00171F59" w:rsidRPr="00A1221B" w:rsidRDefault="004235BC" w:rsidP="00E470F8">
            <w:pPr>
              <w:tabs>
                <w:tab w:val="decimal" w:pos="297"/>
              </w:tabs>
              <w:rPr>
                <w:rFonts w:ascii="Arial" w:hAnsi="Arial" w:cs="Arial"/>
                <w:sz w:val="20"/>
              </w:rPr>
            </w:pPr>
            <w:r>
              <w:rPr>
                <w:rFonts w:ascii="Arial" w:hAnsi="Arial" w:cs="Arial"/>
                <w:sz w:val="20"/>
              </w:rPr>
              <w:t>&lt;0.0001</w:t>
            </w:r>
          </w:p>
        </w:tc>
      </w:tr>
      <w:tr w:rsidR="00FC42AF" w14:paraId="57E685B7" w14:textId="77777777" w:rsidTr="00950B0C">
        <w:tc>
          <w:tcPr>
            <w:tcW w:w="716" w:type="pct"/>
            <w:tcBorders>
              <w:top w:val="nil"/>
              <w:left w:val="nil"/>
              <w:bottom w:val="nil"/>
              <w:right w:val="nil"/>
            </w:tcBorders>
          </w:tcPr>
          <w:p w14:paraId="41E94E43"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2E6C3529" w14:textId="4DC3BEF3" w:rsidR="00171F59" w:rsidRPr="00A1221B" w:rsidRDefault="00171F59" w:rsidP="009729F7">
            <w:pPr>
              <w:tabs>
                <w:tab w:val="decimal" w:pos="236"/>
              </w:tabs>
              <w:rPr>
                <w:rFonts w:ascii="Arial" w:hAnsi="Arial" w:cs="Arial"/>
                <w:sz w:val="20"/>
              </w:rPr>
            </w:pPr>
            <w:r>
              <w:rPr>
                <w:rFonts w:ascii="Arial" w:hAnsi="Arial" w:cs="Arial"/>
                <w:sz w:val="20"/>
              </w:rPr>
              <w:t>3</w:t>
            </w:r>
          </w:p>
        </w:tc>
        <w:tc>
          <w:tcPr>
            <w:tcW w:w="543" w:type="pct"/>
            <w:tcBorders>
              <w:top w:val="nil"/>
              <w:left w:val="nil"/>
              <w:bottom w:val="nil"/>
              <w:right w:val="nil"/>
            </w:tcBorders>
          </w:tcPr>
          <w:p w14:paraId="0840310D" w14:textId="401A7EC8"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0</w:t>
            </w:r>
          </w:p>
        </w:tc>
        <w:tc>
          <w:tcPr>
            <w:tcW w:w="550" w:type="pct"/>
            <w:tcBorders>
              <w:top w:val="nil"/>
              <w:left w:val="nil"/>
              <w:bottom w:val="nil"/>
              <w:right w:val="nil"/>
            </w:tcBorders>
          </w:tcPr>
          <w:p w14:paraId="21A67A52" w14:textId="12D7F59F" w:rsidR="00171F59" w:rsidRPr="00A1221B" w:rsidRDefault="00171F59" w:rsidP="00E470F8">
            <w:pPr>
              <w:tabs>
                <w:tab w:val="decimal" w:pos="385"/>
              </w:tabs>
              <w:rPr>
                <w:rFonts w:ascii="Arial" w:hAnsi="Arial" w:cs="Arial"/>
                <w:sz w:val="20"/>
              </w:rPr>
            </w:pPr>
            <w:r>
              <w:rPr>
                <w:rFonts w:ascii="Arial" w:hAnsi="Arial" w:cs="Arial"/>
                <w:sz w:val="20"/>
              </w:rPr>
              <w:t>5</w:t>
            </w:r>
          </w:p>
        </w:tc>
        <w:tc>
          <w:tcPr>
            <w:tcW w:w="557" w:type="pct"/>
            <w:tcBorders>
              <w:top w:val="nil"/>
              <w:left w:val="nil"/>
              <w:bottom w:val="nil"/>
              <w:right w:val="nil"/>
            </w:tcBorders>
          </w:tcPr>
          <w:p w14:paraId="0AAF50EB" w14:textId="770BFEA7"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02BFF289" w14:textId="22355065"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18C816DD" w14:textId="1EC85E68" w:rsidR="00171F59" w:rsidRPr="00A1221B" w:rsidRDefault="004235BC" w:rsidP="00804477">
            <w:pPr>
              <w:tabs>
                <w:tab w:val="decimal" w:pos="433"/>
              </w:tabs>
              <w:rPr>
                <w:rFonts w:ascii="Arial" w:hAnsi="Arial" w:cs="Arial"/>
                <w:sz w:val="20"/>
              </w:rPr>
            </w:pPr>
            <w:r>
              <w:rPr>
                <w:rFonts w:ascii="Arial" w:hAnsi="Arial" w:cs="Arial"/>
                <w:sz w:val="20"/>
              </w:rPr>
              <w:t>80.542</w:t>
            </w:r>
          </w:p>
        </w:tc>
        <w:tc>
          <w:tcPr>
            <w:tcW w:w="382" w:type="pct"/>
            <w:tcBorders>
              <w:top w:val="nil"/>
              <w:left w:val="nil"/>
              <w:bottom w:val="nil"/>
              <w:right w:val="nil"/>
            </w:tcBorders>
          </w:tcPr>
          <w:p w14:paraId="4F21CC64" w14:textId="037322BF"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5EAAFA55" w14:textId="7198E85F" w:rsidR="00171F59" w:rsidRPr="00A1221B" w:rsidRDefault="004235BC" w:rsidP="00E470F8">
            <w:pPr>
              <w:tabs>
                <w:tab w:val="decimal" w:pos="297"/>
              </w:tabs>
              <w:rPr>
                <w:rFonts w:ascii="Arial" w:hAnsi="Arial" w:cs="Arial"/>
                <w:sz w:val="20"/>
              </w:rPr>
            </w:pPr>
            <w:r>
              <w:rPr>
                <w:rFonts w:ascii="Arial" w:hAnsi="Arial" w:cs="Arial"/>
                <w:sz w:val="20"/>
              </w:rPr>
              <w:t>&lt;0.0001</w:t>
            </w:r>
          </w:p>
        </w:tc>
      </w:tr>
      <w:tr w:rsidR="00FC42AF" w14:paraId="36FE1A11" w14:textId="77777777" w:rsidTr="00950B0C">
        <w:tc>
          <w:tcPr>
            <w:tcW w:w="716" w:type="pct"/>
            <w:tcBorders>
              <w:top w:val="nil"/>
              <w:left w:val="nil"/>
              <w:bottom w:val="nil"/>
              <w:right w:val="nil"/>
            </w:tcBorders>
          </w:tcPr>
          <w:p w14:paraId="41A4B48B"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66AF0406" w14:textId="21F67C33" w:rsidR="00171F59" w:rsidRPr="00A1221B" w:rsidRDefault="00171F59" w:rsidP="009729F7">
            <w:pPr>
              <w:tabs>
                <w:tab w:val="decimal" w:pos="236"/>
              </w:tabs>
              <w:rPr>
                <w:rFonts w:ascii="Arial" w:hAnsi="Arial" w:cs="Arial"/>
                <w:sz w:val="20"/>
              </w:rPr>
            </w:pPr>
            <w:r>
              <w:rPr>
                <w:rFonts w:ascii="Arial" w:hAnsi="Arial" w:cs="Arial"/>
                <w:sz w:val="20"/>
              </w:rPr>
              <w:t>4</w:t>
            </w:r>
          </w:p>
        </w:tc>
        <w:tc>
          <w:tcPr>
            <w:tcW w:w="543" w:type="pct"/>
            <w:tcBorders>
              <w:top w:val="nil"/>
              <w:left w:val="nil"/>
              <w:bottom w:val="nil"/>
              <w:right w:val="nil"/>
            </w:tcBorders>
          </w:tcPr>
          <w:p w14:paraId="633A379D" w14:textId="537E8CCE"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1</w:t>
            </w:r>
          </w:p>
        </w:tc>
        <w:tc>
          <w:tcPr>
            <w:tcW w:w="550" w:type="pct"/>
            <w:tcBorders>
              <w:top w:val="nil"/>
              <w:left w:val="nil"/>
              <w:bottom w:val="nil"/>
              <w:right w:val="nil"/>
            </w:tcBorders>
          </w:tcPr>
          <w:p w14:paraId="4B746F48" w14:textId="01F68DC9" w:rsidR="00171F59" w:rsidRPr="00A1221B" w:rsidRDefault="00171F59"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4CDDF08D" w14:textId="40518E86"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7962316D" w14:textId="13D57144"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470F2B7E" w14:textId="07DA6BF7" w:rsidR="00171F59" w:rsidRPr="00A1221B" w:rsidRDefault="004235BC" w:rsidP="00804477">
            <w:pPr>
              <w:tabs>
                <w:tab w:val="decimal" w:pos="433"/>
              </w:tabs>
              <w:rPr>
                <w:rFonts w:ascii="Arial" w:hAnsi="Arial" w:cs="Arial"/>
                <w:sz w:val="20"/>
              </w:rPr>
            </w:pPr>
            <w:r>
              <w:rPr>
                <w:rFonts w:ascii="Arial" w:hAnsi="Arial" w:cs="Arial"/>
                <w:sz w:val="20"/>
              </w:rPr>
              <w:t>0.062</w:t>
            </w:r>
          </w:p>
        </w:tc>
        <w:tc>
          <w:tcPr>
            <w:tcW w:w="382" w:type="pct"/>
            <w:tcBorders>
              <w:top w:val="nil"/>
              <w:left w:val="nil"/>
              <w:bottom w:val="nil"/>
              <w:right w:val="nil"/>
            </w:tcBorders>
          </w:tcPr>
          <w:p w14:paraId="2C045538" w14:textId="7308BE18"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3D461405" w14:textId="5EA52EF7" w:rsidR="00171F59" w:rsidRPr="00A1221B" w:rsidRDefault="004235BC" w:rsidP="00E470F8">
            <w:pPr>
              <w:tabs>
                <w:tab w:val="decimal" w:pos="297"/>
              </w:tabs>
              <w:rPr>
                <w:rFonts w:ascii="Arial" w:hAnsi="Arial" w:cs="Arial"/>
                <w:sz w:val="20"/>
              </w:rPr>
            </w:pPr>
            <w:r>
              <w:rPr>
                <w:rFonts w:ascii="Arial" w:hAnsi="Arial" w:cs="Arial"/>
                <w:sz w:val="20"/>
              </w:rPr>
              <w:t>0.803</w:t>
            </w:r>
          </w:p>
        </w:tc>
      </w:tr>
      <w:tr w:rsidR="00FC42AF" w14:paraId="109ECC2F" w14:textId="77777777" w:rsidTr="00950B0C">
        <w:tc>
          <w:tcPr>
            <w:tcW w:w="716" w:type="pct"/>
            <w:tcBorders>
              <w:top w:val="nil"/>
              <w:left w:val="nil"/>
              <w:bottom w:val="nil"/>
              <w:right w:val="nil"/>
            </w:tcBorders>
          </w:tcPr>
          <w:p w14:paraId="4D3AE14E"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66E25316" w14:textId="20E75144" w:rsidR="00171F59" w:rsidRPr="00A1221B" w:rsidRDefault="00171F59" w:rsidP="009729F7">
            <w:pPr>
              <w:tabs>
                <w:tab w:val="decimal" w:pos="236"/>
              </w:tabs>
              <w:rPr>
                <w:rFonts w:ascii="Arial" w:hAnsi="Arial" w:cs="Arial"/>
                <w:sz w:val="20"/>
              </w:rPr>
            </w:pPr>
            <w:r>
              <w:rPr>
                <w:rFonts w:ascii="Arial" w:hAnsi="Arial" w:cs="Arial"/>
                <w:sz w:val="20"/>
              </w:rPr>
              <w:t>5</w:t>
            </w:r>
          </w:p>
        </w:tc>
        <w:tc>
          <w:tcPr>
            <w:tcW w:w="543" w:type="pct"/>
            <w:tcBorders>
              <w:top w:val="nil"/>
              <w:left w:val="nil"/>
              <w:bottom w:val="nil"/>
              <w:right w:val="nil"/>
            </w:tcBorders>
          </w:tcPr>
          <w:p w14:paraId="139A6676" w14:textId="38ECA5FC"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2</w:t>
            </w:r>
          </w:p>
        </w:tc>
        <w:tc>
          <w:tcPr>
            <w:tcW w:w="550" w:type="pct"/>
            <w:tcBorders>
              <w:top w:val="nil"/>
              <w:left w:val="nil"/>
              <w:bottom w:val="nil"/>
              <w:right w:val="nil"/>
            </w:tcBorders>
          </w:tcPr>
          <w:p w14:paraId="25596CD3" w14:textId="6AAA1442" w:rsidR="00171F59" w:rsidRPr="00A1221B" w:rsidRDefault="00171F59"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72B097B7" w14:textId="3016252E"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7BB9491A" w14:textId="5C9D2189"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0E3673F1" w14:textId="0207AD59" w:rsidR="00171F59" w:rsidRPr="00A1221B" w:rsidRDefault="004235BC" w:rsidP="00804477">
            <w:pPr>
              <w:tabs>
                <w:tab w:val="decimal" w:pos="433"/>
              </w:tabs>
              <w:rPr>
                <w:rFonts w:ascii="Arial" w:hAnsi="Arial" w:cs="Arial"/>
                <w:sz w:val="20"/>
              </w:rPr>
            </w:pPr>
            <w:r>
              <w:rPr>
                <w:rFonts w:ascii="Arial" w:hAnsi="Arial" w:cs="Arial"/>
                <w:sz w:val="20"/>
              </w:rPr>
              <w:t>0.124</w:t>
            </w:r>
          </w:p>
        </w:tc>
        <w:tc>
          <w:tcPr>
            <w:tcW w:w="382" w:type="pct"/>
            <w:tcBorders>
              <w:top w:val="nil"/>
              <w:left w:val="nil"/>
              <w:bottom w:val="nil"/>
              <w:right w:val="nil"/>
            </w:tcBorders>
          </w:tcPr>
          <w:p w14:paraId="5A0AA404" w14:textId="31718E37"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65430185" w14:textId="7B91ED38" w:rsidR="00171F59" w:rsidRPr="00A1221B" w:rsidRDefault="004235BC" w:rsidP="00E470F8">
            <w:pPr>
              <w:tabs>
                <w:tab w:val="decimal" w:pos="297"/>
              </w:tabs>
              <w:rPr>
                <w:rFonts w:ascii="Arial" w:hAnsi="Arial" w:cs="Arial"/>
                <w:sz w:val="20"/>
              </w:rPr>
            </w:pPr>
            <w:r>
              <w:rPr>
                <w:rFonts w:ascii="Arial" w:hAnsi="Arial" w:cs="Arial"/>
                <w:sz w:val="20"/>
              </w:rPr>
              <w:t>0.725</w:t>
            </w:r>
          </w:p>
        </w:tc>
      </w:tr>
      <w:tr w:rsidR="00FC42AF" w14:paraId="069C0871" w14:textId="77777777" w:rsidTr="00950B0C">
        <w:tc>
          <w:tcPr>
            <w:tcW w:w="716" w:type="pct"/>
            <w:tcBorders>
              <w:top w:val="nil"/>
              <w:left w:val="nil"/>
              <w:bottom w:val="nil"/>
              <w:right w:val="nil"/>
            </w:tcBorders>
          </w:tcPr>
          <w:p w14:paraId="370BD874"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5C7BA884" w14:textId="67FAD197" w:rsidR="00171F59" w:rsidRPr="00A1221B" w:rsidRDefault="00171F59" w:rsidP="009729F7">
            <w:pPr>
              <w:tabs>
                <w:tab w:val="decimal" w:pos="236"/>
              </w:tabs>
              <w:rPr>
                <w:rFonts w:ascii="Arial" w:hAnsi="Arial" w:cs="Arial"/>
                <w:sz w:val="20"/>
              </w:rPr>
            </w:pPr>
            <w:r>
              <w:rPr>
                <w:rFonts w:ascii="Arial" w:hAnsi="Arial" w:cs="Arial"/>
                <w:sz w:val="20"/>
              </w:rPr>
              <w:t>6</w:t>
            </w:r>
          </w:p>
        </w:tc>
        <w:tc>
          <w:tcPr>
            <w:tcW w:w="543" w:type="pct"/>
            <w:tcBorders>
              <w:top w:val="nil"/>
              <w:left w:val="nil"/>
              <w:bottom w:val="nil"/>
              <w:right w:val="nil"/>
            </w:tcBorders>
          </w:tcPr>
          <w:p w14:paraId="0EFCA9A5" w14:textId="69A884A5"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4</w:t>
            </w:r>
          </w:p>
        </w:tc>
        <w:tc>
          <w:tcPr>
            <w:tcW w:w="550" w:type="pct"/>
            <w:tcBorders>
              <w:top w:val="nil"/>
              <w:left w:val="nil"/>
              <w:bottom w:val="nil"/>
              <w:right w:val="nil"/>
            </w:tcBorders>
          </w:tcPr>
          <w:p w14:paraId="0E04E2AE" w14:textId="19D829AF" w:rsidR="00171F59" w:rsidRPr="00A1221B" w:rsidRDefault="00171F59" w:rsidP="00E470F8">
            <w:pPr>
              <w:tabs>
                <w:tab w:val="decimal" w:pos="385"/>
              </w:tabs>
              <w:rPr>
                <w:rFonts w:ascii="Arial" w:hAnsi="Arial" w:cs="Arial"/>
                <w:sz w:val="20"/>
              </w:rPr>
            </w:pPr>
            <w:r>
              <w:rPr>
                <w:rFonts w:ascii="Arial" w:hAnsi="Arial" w:cs="Arial"/>
                <w:sz w:val="20"/>
              </w:rPr>
              <w:t>2</w:t>
            </w:r>
          </w:p>
        </w:tc>
        <w:tc>
          <w:tcPr>
            <w:tcW w:w="557" w:type="pct"/>
            <w:tcBorders>
              <w:top w:val="nil"/>
              <w:left w:val="nil"/>
              <w:bottom w:val="nil"/>
              <w:right w:val="nil"/>
            </w:tcBorders>
          </w:tcPr>
          <w:p w14:paraId="6C78E87A" w14:textId="26DA7338"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757B8428" w14:textId="2582F380"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1E89EBD8" w14:textId="28467EE6" w:rsidR="00171F59" w:rsidRPr="00A1221B" w:rsidRDefault="004235BC" w:rsidP="00804477">
            <w:pPr>
              <w:tabs>
                <w:tab w:val="decimal" w:pos="433"/>
              </w:tabs>
              <w:rPr>
                <w:rFonts w:ascii="Arial" w:hAnsi="Arial" w:cs="Arial"/>
                <w:sz w:val="20"/>
              </w:rPr>
            </w:pPr>
            <w:r>
              <w:rPr>
                <w:rFonts w:ascii="Arial" w:hAnsi="Arial" w:cs="Arial"/>
                <w:sz w:val="20"/>
              </w:rPr>
              <w:t>8.238</w:t>
            </w:r>
          </w:p>
        </w:tc>
        <w:tc>
          <w:tcPr>
            <w:tcW w:w="382" w:type="pct"/>
            <w:tcBorders>
              <w:top w:val="nil"/>
              <w:left w:val="nil"/>
              <w:bottom w:val="nil"/>
              <w:right w:val="nil"/>
            </w:tcBorders>
          </w:tcPr>
          <w:p w14:paraId="2C2973F1" w14:textId="6C69923E"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4D51C06A" w14:textId="337F0A35" w:rsidR="00171F59" w:rsidRPr="00A1221B" w:rsidRDefault="004235BC" w:rsidP="00E470F8">
            <w:pPr>
              <w:tabs>
                <w:tab w:val="decimal" w:pos="297"/>
              </w:tabs>
              <w:rPr>
                <w:rFonts w:ascii="Arial" w:hAnsi="Arial" w:cs="Arial"/>
                <w:sz w:val="20"/>
              </w:rPr>
            </w:pPr>
            <w:r>
              <w:rPr>
                <w:rFonts w:ascii="Arial" w:hAnsi="Arial" w:cs="Arial"/>
                <w:sz w:val="20"/>
              </w:rPr>
              <w:t>0.004</w:t>
            </w:r>
          </w:p>
        </w:tc>
      </w:tr>
      <w:tr w:rsidR="00FC42AF" w14:paraId="66DB4D15" w14:textId="77777777" w:rsidTr="00950B0C">
        <w:tc>
          <w:tcPr>
            <w:tcW w:w="716" w:type="pct"/>
            <w:tcBorders>
              <w:top w:val="nil"/>
              <w:left w:val="nil"/>
              <w:bottom w:val="nil"/>
              <w:right w:val="nil"/>
            </w:tcBorders>
          </w:tcPr>
          <w:p w14:paraId="2AFC8908"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3521B14D" w14:textId="7E025F8F" w:rsidR="00171F59" w:rsidRPr="00A1221B" w:rsidRDefault="00171F59" w:rsidP="009729F7">
            <w:pPr>
              <w:tabs>
                <w:tab w:val="decimal" w:pos="236"/>
              </w:tabs>
              <w:rPr>
                <w:rFonts w:ascii="Arial" w:hAnsi="Arial" w:cs="Arial"/>
                <w:sz w:val="20"/>
              </w:rPr>
            </w:pPr>
            <w:r>
              <w:rPr>
                <w:rFonts w:ascii="Arial" w:hAnsi="Arial" w:cs="Arial"/>
                <w:sz w:val="20"/>
              </w:rPr>
              <w:t>7</w:t>
            </w:r>
          </w:p>
        </w:tc>
        <w:tc>
          <w:tcPr>
            <w:tcW w:w="543" w:type="pct"/>
            <w:tcBorders>
              <w:top w:val="nil"/>
              <w:left w:val="nil"/>
              <w:bottom w:val="nil"/>
              <w:right w:val="nil"/>
            </w:tcBorders>
          </w:tcPr>
          <w:p w14:paraId="689BB60E" w14:textId="00F58E74"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19</w:t>
            </w:r>
          </w:p>
        </w:tc>
        <w:tc>
          <w:tcPr>
            <w:tcW w:w="550" w:type="pct"/>
            <w:tcBorders>
              <w:top w:val="nil"/>
              <w:left w:val="nil"/>
              <w:bottom w:val="nil"/>
              <w:right w:val="nil"/>
            </w:tcBorders>
          </w:tcPr>
          <w:p w14:paraId="38A4242F" w14:textId="14C3D2CD" w:rsidR="00171F59" w:rsidRPr="00A1221B" w:rsidRDefault="00171F59" w:rsidP="00E470F8">
            <w:pPr>
              <w:tabs>
                <w:tab w:val="decimal" w:pos="385"/>
              </w:tabs>
              <w:rPr>
                <w:rFonts w:ascii="Arial" w:hAnsi="Arial" w:cs="Arial"/>
                <w:sz w:val="20"/>
              </w:rPr>
            </w:pPr>
            <w:r>
              <w:rPr>
                <w:rFonts w:ascii="Arial" w:hAnsi="Arial" w:cs="Arial"/>
                <w:sz w:val="20"/>
              </w:rPr>
              <w:t>4</w:t>
            </w:r>
          </w:p>
        </w:tc>
        <w:tc>
          <w:tcPr>
            <w:tcW w:w="557" w:type="pct"/>
            <w:tcBorders>
              <w:top w:val="nil"/>
              <w:left w:val="nil"/>
              <w:bottom w:val="nil"/>
              <w:right w:val="nil"/>
            </w:tcBorders>
          </w:tcPr>
          <w:p w14:paraId="0C0CE489" w14:textId="2BC44C45"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65A81DDB" w14:textId="24AEB395"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7D8E3C56" w14:textId="2BB76620" w:rsidR="00171F59" w:rsidRPr="00A1221B" w:rsidRDefault="004235BC" w:rsidP="00804477">
            <w:pPr>
              <w:tabs>
                <w:tab w:val="decimal" w:pos="433"/>
              </w:tabs>
              <w:rPr>
                <w:rFonts w:ascii="Arial" w:hAnsi="Arial" w:cs="Arial"/>
                <w:sz w:val="20"/>
              </w:rPr>
            </w:pPr>
            <w:r>
              <w:rPr>
                <w:rFonts w:ascii="Arial" w:hAnsi="Arial" w:cs="Arial"/>
                <w:sz w:val="20"/>
              </w:rPr>
              <w:t>5.572</w:t>
            </w:r>
          </w:p>
        </w:tc>
        <w:tc>
          <w:tcPr>
            <w:tcW w:w="382" w:type="pct"/>
            <w:tcBorders>
              <w:top w:val="nil"/>
              <w:left w:val="nil"/>
              <w:bottom w:val="nil"/>
              <w:right w:val="nil"/>
            </w:tcBorders>
          </w:tcPr>
          <w:p w14:paraId="54ADB104" w14:textId="291C528E"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266CD75F" w14:textId="35D5AF6B" w:rsidR="00171F59" w:rsidRPr="00A1221B" w:rsidRDefault="004235BC" w:rsidP="00E470F8">
            <w:pPr>
              <w:tabs>
                <w:tab w:val="decimal" w:pos="297"/>
              </w:tabs>
              <w:rPr>
                <w:rFonts w:ascii="Arial" w:hAnsi="Arial" w:cs="Arial"/>
                <w:sz w:val="20"/>
              </w:rPr>
            </w:pPr>
            <w:r>
              <w:rPr>
                <w:rFonts w:ascii="Arial" w:hAnsi="Arial" w:cs="Arial"/>
                <w:sz w:val="20"/>
              </w:rPr>
              <w:t>0.018</w:t>
            </w:r>
          </w:p>
        </w:tc>
      </w:tr>
      <w:tr w:rsidR="00FC42AF" w14:paraId="7412F91E" w14:textId="77777777" w:rsidTr="00950B0C">
        <w:tc>
          <w:tcPr>
            <w:tcW w:w="716" w:type="pct"/>
            <w:tcBorders>
              <w:top w:val="nil"/>
              <w:left w:val="nil"/>
              <w:bottom w:val="nil"/>
              <w:right w:val="nil"/>
            </w:tcBorders>
          </w:tcPr>
          <w:p w14:paraId="06291385"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70DE9694" w14:textId="25948392" w:rsidR="00171F59" w:rsidRPr="00A1221B" w:rsidRDefault="00171F59" w:rsidP="009729F7">
            <w:pPr>
              <w:tabs>
                <w:tab w:val="decimal" w:pos="236"/>
              </w:tabs>
              <w:rPr>
                <w:rFonts w:ascii="Arial" w:hAnsi="Arial" w:cs="Arial"/>
                <w:sz w:val="20"/>
              </w:rPr>
            </w:pPr>
            <w:r>
              <w:rPr>
                <w:rFonts w:ascii="Arial" w:hAnsi="Arial" w:cs="Arial"/>
                <w:sz w:val="20"/>
              </w:rPr>
              <w:t>8</w:t>
            </w:r>
          </w:p>
        </w:tc>
        <w:tc>
          <w:tcPr>
            <w:tcW w:w="543" w:type="pct"/>
            <w:tcBorders>
              <w:top w:val="nil"/>
              <w:left w:val="nil"/>
              <w:bottom w:val="nil"/>
              <w:right w:val="nil"/>
            </w:tcBorders>
          </w:tcPr>
          <w:p w14:paraId="26438DA0" w14:textId="6766A9D1"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3</w:t>
            </w:r>
          </w:p>
        </w:tc>
        <w:tc>
          <w:tcPr>
            <w:tcW w:w="550" w:type="pct"/>
            <w:tcBorders>
              <w:top w:val="nil"/>
              <w:left w:val="nil"/>
              <w:bottom w:val="nil"/>
              <w:right w:val="nil"/>
            </w:tcBorders>
          </w:tcPr>
          <w:p w14:paraId="089CEF4C" w14:textId="377ACD1A" w:rsidR="00171F59" w:rsidRPr="00A1221B" w:rsidRDefault="00171F59"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0794E49E" w14:textId="5D2C1DAA"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7613491A" w14:textId="007AE7FD"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5CE86421" w14:textId="15DA3E52" w:rsidR="00171F59" w:rsidRPr="00A1221B" w:rsidRDefault="004235BC" w:rsidP="00804477">
            <w:pPr>
              <w:tabs>
                <w:tab w:val="decimal" w:pos="433"/>
              </w:tabs>
              <w:rPr>
                <w:rFonts w:ascii="Arial" w:hAnsi="Arial" w:cs="Arial"/>
                <w:sz w:val="20"/>
              </w:rPr>
            </w:pPr>
            <w:r>
              <w:rPr>
                <w:rFonts w:ascii="Arial" w:hAnsi="Arial" w:cs="Arial"/>
                <w:sz w:val="20"/>
              </w:rPr>
              <w:t>0.186</w:t>
            </w:r>
          </w:p>
        </w:tc>
        <w:tc>
          <w:tcPr>
            <w:tcW w:w="382" w:type="pct"/>
            <w:tcBorders>
              <w:top w:val="nil"/>
              <w:left w:val="nil"/>
              <w:bottom w:val="nil"/>
              <w:right w:val="nil"/>
            </w:tcBorders>
          </w:tcPr>
          <w:p w14:paraId="5A561F3A" w14:textId="3E97D925"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34F8DAB9" w14:textId="70957EB1" w:rsidR="00171F59" w:rsidRPr="00A1221B" w:rsidRDefault="004235BC" w:rsidP="00E470F8">
            <w:pPr>
              <w:tabs>
                <w:tab w:val="decimal" w:pos="297"/>
              </w:tabs>
              <w:rPr>
                <w:rFonts w:ascii="Arial" w:hAnsi="Arial" w:cs="Arial"/>
                <w:sz w:val="20"/>
              </w:rPr>
            </w:pPr>
            <w:r>
              <w:rPr>
                <w:rFonts w:ascii="Arial" w:hAnsi="Arial" w:cs="Arial"/>
                <w:sz w:val="20"/>
              </w:rPr>
              <w:t>0.666</w:t>
            </w:r>
          </w:p>
        </w:tc>
      </w:tr>
      <w:tr w:rsidR="00FC42AF" w14:paraId="5E8D97E8" w14:textId="77777777" w:rsidTr="00950B0C">
        <w:trPr>
          <w:trHeight w:val="197"/>
        </w:trPr>
        <w:tc>
          <w:tcPr>
            <w:tcW w:w="716" w:type="pct"/>
            <w:tcBorders>
              <w:top w:val="nil"/>
              <w:left w:val="nil"/>
              <w:bottom w:val="nil"/>
              <w:right w:val="nil"/>
            </w:tcBorders>
          </w:tcPr>
          <w:p w14:paraId="16EBDBD4"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nil"/>
              <w:right w:val="nil"/>
            </w:tcBorders>
          </w:tcPr>
          <w:p w14:paraId="715D0517" w14:textId="01A01794" w:rsidR="00171F59" w:rsidRPr="00A1221B" w:rsidRDefault="00171F59" w:rsidP="009729F7">
            <w:pPr>
              <w:tabs>
                <w:tab w:val="decimal" w:pos="236"/>
              </w:tabs>
              <w:rPr>
                <w:rFonts w:ascii="Arial" w:hAnsi="Arial" w:cs="Arial"/>
                <w:sz w:val="20"/>
              </w:rPr>
            </w:pPr>
            <w:r>
              <w:rPr>
                <w:rFonts w:ascii="Arial" w:hAnsi="Arial" w:cs="Arial"/>
                <w:sz w:val="20"/>
              </w:rPr>
              <w:t>9</w:t>
            </w:r>
          </w:p>
        </w:tc>
        <w:tc>
          <w:tcPr>
            <w:tcW w:w="543" w:type="pct"/>
            <w:tcBorders>
              <w:top w:val="nil"/>
              <w:left w:val="nil"/>
              <w:bottom w:val="nil"/>
              <w:right w:val="nil"/>
            </w:tcBorders>
          </w:tcPr>
          <w:p w14:paraId="18994296" w14:textId="688DA12C"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0</w:t>
            </w:r>
          </w:p>
        </w:tc>
        <w:tc>
          <w:tcPr>
            <w:tcW w:w="550" w:type="pct"/>
            <w:tcBorders>
              <w:top w:val="nil"/>
              <w:left w:val="nil"/>
              <w:bottom w:val="nil"/>
              <w:right w:val="nil"/>
            </w:tcBorders>
          </w:tcPr>
          <w:p w14:paraId="4A9C3874" w14:textId="7D1B34FC" w:rsidR="00171F59" w:rsidRPr="00A1221B" w:rsidRDefault="00171F59"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662E8A50" w14:textId="0622979A"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nil"/>
              <w:right w:val="nil"/>
            </w:tcBorders>
          </w:tcPr>
          <w:p w14:paraId="227D068A" w14:textId="781E9562"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nil"/>
              <w:right w:val="nil"/>
            </w:tcBorders>
          </w:tcPr>
          <w:p w14:paraId="3170B00E" w14:textId="7BBB74C8" w:rsidR="00171F59" w:rsidRPr="00A1221B" w:rsidRDefault="008845EE" w:rsidP="00804477">
            <w:pPr>
              <w:tabs>
                <w:tab w:val="decimal" w:pos="433"/>
              </w:tabs>
              <w:jc w:val="center"/>
              <w:rPr>
                <w:rFonts w:ascii="Arial" w:hAnsi="Arial" w:cs="Arial"/>
                <w:sz w:val="20"/>
              </w:rPr>
            </w:pPr>
            <w:r>
              <w:rPr>
                <w:rFonts w:ascii="Arial" w:hAnsi="Arial" w:cs="Arial"/>
                <w:sz w:val="20"/>
              </w:rPr>
              <w:t>-</w:t>
            </w:r>
          </w:p>
        </w:tc>
        <w:tc>
          <w:tcPr>
            <w:tcW w:w="382" w:type="pct"/>
            <w:tcBorders>
              <w:top w:val="nil"/>
              <w:left w:val="nil"/>
              <w:bottom w:val="nil"/>
              <w:right w:val="nil"/>
            </w:tcBorders>
          </w:tcPr>
          <w:p w14:paraId="4B1ECD58" w14:textId="731282BB" w:rsidR="00171F59" w:rsidRPr="00A1221B" w:rsidRDefault="008845EE" w:rsidP="008845EE">
            <w:pPr>
              <w:tabs>
                <w:tab w:val="left" w:pos="7650"/>
              </w:tabs>
              <w:rPr>
                <w:rFonts w:ascii="Arial" w:hAnsi="Arial" w:cs="Arial"/>
                <w:sz w:val="20"/>
              </w:rPr>
            </w:pPr>
            <w:r>
              <w:rPr>
                <w:rFonts w:ascii="Arial" w:hAnsi="Arial" w:cs="Arial"/>
                <w:sz w:val="20"/>
              </w:rPr>
              <w:t>-</w:t>
            </w:r>
          </w:p>
        </w:tc>
        <w:tc>
          <w:tcPr>
            <w:tcW w:w="479" w:type="pct"/>
            <w:tcBorders>
              <w:top w:val="nil"/>
              <w:left w:val="nil"/>
              <w:bottom w:val="nil"/>
              <w:right w:val="nil"/>
            </w:tcBorders>
          </w:tcPr>
          <w:p w14:paraId="77B89503" w14:textId="0ED88DA3" w:rsidR="00171F59" w:rsidRPr="00A1221B" w:rsidRDefault="008845EE" w:rsidP="00E470F8">
            <w:pPr>
              <w:tabs>
                <w:tab w:val="decimal" w:pos="297"/>
              </w:tabs>
              <w:jc w:val="center"/>
              <w:rPr>
                <w:rFonts w:ascii="Arial" w:hAnsi="Arial" w:cs="Arial"/>
                <w:sz w:val="20"/>
              </w:rPr>
            </w:pPr>
            <w:r>
              <w:rPr>
                <w:rFonts w:ascii="Arial" w:hAnsi="Arial" w:cs="Arial"/>
                <w:sz w:val="20"/>
              </w:rPr>
              <w:t>-</w:t>
            </w:r>
          </w:p>
        </w:tc>
      </w:tr>
      <w:tr w:rsidR="00FC42AF" w14:paraId="46094546" w14:textId="77777777" w:rsidTr="00950B0C">
        <w:tc>
          <w:tcPr>
            <w:tcW w:w="716" w:type="pct"/>
            <w:tcBorders>
              <w:top w:val="nil"/>
              <w:left w:val="nil"/>
              <w:bottom w:val="single" w:sz="4" w:space="0" w:color="auto"/>
              <w:right w:val="nil"/>
            </w:tcBorders>
          </w:tcPr>
          <w:p w14:paraId="790982DC" w14:textId="77777777" w:rsidR="00171F59" w:rsidRPr="00A1221B" w:rsidRDefault="00171F59" w:rsidP="00A1221B">
            <w:pPr>
              <w:tabs>
                <w:tab w:val="left" w:pos="7650"/>
              </w:tabs>
              <w:rPr>
                <w:rFonts w:ascii="Arial" w:hAnsi="Arial" w:cs="Arial"/>
                <w:sz w:val="20"/>
              </w:rPr>
            </w:pPr>
          </w:p>
        </w:tc>
        <w:tc>
          <w:tcPr>
            <w:tcW w:w="513" w:type="pct"/>
            <w:tcBorders>
              <w:top w:val="nil"/>
              <w:left w:val="nil"/>
              <w:bottom w:val="single" w:sz="4" w:space="0" w:color="auto"/>
              <w:right w:val="nil"/>
            </w:tcBorders>
          </w:tcPr>
          <w:p w14:paraId="7CEE1B1E" w14:textId="4492CB2C" w:rsidR="00171F59" w:rsidRPr="00A1221B" w:rsidRDefault="00171F59" w:rsidP="009729F7">
            <w:pPr>
              <w:tabs>
                <w:tab w:val="decimal" w:pos="236"/>
              </w:tabs>
              <w:rPr>
                <w:rFonts w:ascii="Arial" w:hAnsi="Arial" w:cs="Arial"/>
                <w:sz w:val="20"/>
              </w:rPr>
            </w:pPr>
            <w:r>
              <w:rPr>
                <w:rFonts w:ascii="Arial" w:hAnsi="Arial" w:cs="Arial"/>
                <w:sz w:val="20"/>
              </w:rPr>
              <w:t>10</w:t>
            </w:r>
          </w:p>
        </w:tc>
        <w:tc>
          <w:tcPr>
            <w:tcW w:w="543" w:type="pct"/>
            <w:tcBorders>
              <w:top w:val="nil"/>
              <w:left w:val="nil"/>
              <w:bottom w:val="single" w:sz="4" w:space="0" w:color="auto"/>
              <w:right w:val="nil"/>
            </w:tcBorders>
          </w:tcPr>
          <w:p w14:paraId="55934F00" w14:textId="1C6D1005" w:rsidR="00171F59" w:rsidRPr="00A1221B" w:rsidRDefault="00804477" w:rsidP="00804477">
            <w:pPr>
              <w:tabs>
                <w:tab w:val="decimal" w:pos="208"/>
                <w:tab w:val="left" w:pos="7650"/>
              </w:tabs>
              <w:rPr>
                <w:rFonts w:ascii="Arial" w:hAnsi="Arial" w:cs="Arial"/>
                <w:sz w:val="20"/>
              </w:rPr>
            </w:pPr>
            <w:r>
              <w:rPr>
                <w:rFonts w:ascii="Arial" w:hAnsi="Arial" w:cs="Arial"/>
                <w:sz w:val="20"/>
              </w:rPr>
              <w:tab/>
            </w:r>
            <w:r w:rsidR="00171F59">
              <w:rPr>
                <w:rFonts w:ascii="Arial" w:hAnsi="Arial" w:cs="Arial"/>
                <w:sz w:val="20"/>
              </w:rPr>
              <w:t>0</w:t>
            </w:r>
          </w:p>
        </w:tc>
        <w:tc>
          <w:tcPr>
            <w:tcW w:w="550" w:type="pct"/>
            <w:tcBorders>
              <w:top w:val="nil"/>
              <w:left w:val="nil"/>
              <w:bottom w:val="single" w:sz="4" w:space="0" w:color="auto"/>
              <w:right w:val="nil"/>
            </w:tcBorders>
          </w:tcPr>
          <w:p w14:paraId="0F4A8BA5" w14:textId="17CC9FE2" w:rsidR="00171F59" w:rsidRPr="00A1221B" w:rsidRDefault="00171F59" w:rsidP="00E470F8">
            <w:pPr>
              <w:tabs>
                <w:tab w:val="decimal" w:pos="385"/>
              </w:tabs>
              <w:rPr>
                <w:rFonts w:ascii="Arial" w:hAnsi="Arial" w:cs="Arial"/>
                <w:sz w:val="20"/>
              </w:rPr>
            </w:pPr>
            <w:r>
              <w:rPr>
                <w:rFonts w:ascii="Arial" w:hAnsi="Arial" w:cs="Arial"/>
                <w:sz w:val="20"/>
              </w:rPr>
              <w:t>2</w:t>
            </w:r>
          </w:p>
        </w:tc>
        <w:tc>
          <w:tcPr>
            <w:tcW w:w="557" w:type="pct"/>
            <w:tcBorders>
              <w:top w:val="nil"/>
              <w:left w:val="nil"/>
              <w:bottom w:val="single" w:sz="4" w:space="0" w:color="auto"/>
              <w:right w:val="nil"/>
            </w:tcBorders>
          </w:tcPr>
          <w:p w14:paraId="39DBE7D9" w14:textId="4855BCE8" w:rsidR="00171F59" w:rsidRPr="00A1221B" w:rsidRDefault="00171F59" w:rsidP="00A1221B">
            <w:pPr>
              <w:tabs>
                <w:tab w:val="left" w:pos="7650"/>
              </w:tabs>
              <w:rPr>
                <w:rFonts w:ascii="Arial" w:hAnsi="Arial" w:cs="Arial"/>
                <w:sz w:val="20"/>
              </w:rPr>
            </w:pPr>
            <w:r>
              <w:rPr>
                <w:rFonts w:ascii="Arial" w:hAnsi="Arial" w:cs="Arial"/>
                <w:sz w:val="20"/>
              </w:rPr>
              <w:t>0.942</w:t>
            </w:r>
          </w:p>
        </w:tc>
        <w:tc>
          <w:tcPr>
            <w:tcW w:w="579" w:type="pct"/>
            <w:tcBorders>
              <w:top w:val="nil"/>
              <w:left w:val="nil"/>
              <w:bottom w:val="single" w:sz="4" w:space="0" w:color="auto"/>
              <w:right w:val="nil"/>
            </w:tcBorders>
          </w:tcPr>
          <w:p w14:paraId="445A3E6F" w14:textId="1C3CE4E1" w:rsidR="00171F59" w:rsidRPr="00A1221B" w:rsidRDefault="00171F59" w:rsidP="00FC42AF">
            <w:pPr>
              <w:tabs>
                <w:tab w:val="decimal" w:pos="334"/>
                <w:tab w:val="left" w:pos="7650"/>
              </w:tabs>
              <w:rPr>
                <w:rFonts w:ascii="Arial" w:hAnsi="Arial" w:cs="Arial"/>
                <w:sz w:val="20"/>
              </w:rPr>
            </w:pPr>
            <w:r>
              <w:rPr>
                <w:rFonts w:ascii="Arial" w:hAnsi="Arial" w:cs="Arial"/>
                <w:sz w:val="20"/>
              </w:rPr>
              <w:t>0.058</w:t>
            </w:r>
          </w:p>
        </w:tc>
        <w:tc>
          <w:tcPr>
            <w:tcW w:w="681" w:type="pct"/>
            <w:tcBorders>
              <w:top w:val="nil"/>
              <w:left w:val="nil"/>
              <w:bottom w:val="single" w:sz="4" w:space="0" w:color="auto"/>
              <w:right w:val="nil"/>
            </w:tcBorders>
          </w:tcPr>
          <w:p w14:paraId="5519F08E" w14:textId="2352C9F2" w:rsidR="00171F59" w:rsidRPr="00A1221B" w:rsidRDefault="004235BC" w:rsidP="00804477">
            <w:pPr>
              <w:tabs>
                <w:tab w:val="decimal" w:pos="433"/>
              </w:tabs>
              <w:rPr>
                <w:rFonts w:ascii="Arial" w:hAnsi="Arial" w:cs="Arial"/>
                <w:sz w:val="20"/>
              </w:rPr>
            </w:pPr>
            <w:r>
              <w:rPr>
                <w:rFonts w:ascii="Arial" w:hAnsi="Arial" w:cs="Arial"/>
                <w:sz w:val="20"/>
              </w:rPr>
              <w:t>32.217</w:t>
            </w:r>
          </w:p>
        </w:tc>
        <w:tc>
          <w:tcPr>
            <w:tcW w:w="382" w:type="pct"/>
            <w:tcBorders>
              <w:top w:val="nil"/>
              <w:left w:val="nil"/>
              <w:bottom w:val="single" w:sz="4" w:space="0" w:color="auto"/>
              <w:right w:val="nil"/>
            </w:tcBorders>
          </w:tcPr>
          <w:p w14:paraId="5F2E5552" w14:textId="5021F122" w:rsidR="00171F59" w:rsidRPr="00A1221B" w:rsidRDefault="004235BC"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single" w:sz="4" w:space="0" w:color="auto"/>
              <w:right w:val="nil"/>
            </w:tcBorders>
          </w:tcPr>
          <w:p w14:paraId="0F8C0D8C" w14:textId="5FFC6AC5" w:rsidR="00171F59" w:rsidRPr="00A1221B" w:rsidRDefault="004235BC" w:rsidP="00E470F8">
            <w:pPr>
              <w:tabs>
                <w:tab w:val="decimal" w:pos="297"/>
              </w:tabs>
              <w:rPr>
                <w:rFonts w:ascii="Arial" w:hAnsi="Arial" w:cs="Arial"/>
                <w:sz w:val="20"/>
              </w:rPr>
            </w:pPr>
            <w:r>
              <w:rPr>
                <w:rFonts w:ascii="Arial" w:hAnsi="Arial" w:cs="Arial"/>
                <w:sz w:val="20"/>
              </w:rPr>
              <w:t>&lt;0.0001</w:t>
            </w:r>
          </w:p>
        </w:tc>
      </w:tr>
      <w:tr w:rsidR="00FC42AF" w14:paraId="2473514B" w14:textId="77777777" w:rsidTr="00950B0C">
        <w:tc>
          <w:tcPr>
            <w:tcW w:w="716" w:type="pct"/>
            <w:tcBorders>
              <w:top w:val="single" w:sz="4" w:space="0" w:color="auto"/>
              <w:left w:val="nil"/>
              <w:bottom w:val="nil"/>
              <w:right w:val="nil"/>
            </w:tcBorders>
          </w:tcPr>
          <w:p w14:paraId="6CB362DF" w14:textId="2B9D36BF" w:rsidR="00FC42AF" w:rsidRPr="00FC42AF" w:rsidRDefault="00FC42AF" w:rsidP="00171F59">
            <w:pPr>
              <w:tabs>
                <w:tab w:val="left" w:pos="7650"/>
              </w:tabs>
              <w:ind w:right="-178"/>
              <w:rPr>
                <w:rFonts w:ascii="Arial" w:hAnsi="Arial" w:cs="Arial"/>
                <w:i/>
                <w:sz w:val="20"/>
              </w:rPr>
            </w:pPr>
            <w:r w:rsidRPr="00FC42AF">
              <w:rPr>
                <w:rFonts w:ascii="Arial" w:hAnsi="Arial" w:cs="Arial"/>
                <w:i/>
                <w:sz w:val="20"/>
              </w:rPr>
              <w:t>V. cholerae</w:t>
            </w:r>
          </w:p>
        </w:tc>
        <w:tc>
          <w:tcPr>
            <w:tcW w:w="513" w:type="pct"/>
            <w:tcBorders>
              <w:top w:val="single" w:sz="4" w:space="0" w:color="auto"/>
              <w:left w:val="nil"/>
              <w:bottom w:val="nil"/>
              <w:right w:val="nil"/>
            </w:tcBorders>
          </w:tcPr>
          <w:p w14:paraId="38E4FA0D" w14:textId="14364CD1" w:rsidR="00FC42AF" w:rsidRPr="00A1221B" w:rsidRDefault="00FC42AF" w:rsidP="009729F7">
            <w:pPr>
              <w:tabs>
                <w:tab w:val="decimal" w:pos="236"/>
              </w:tabs>
              <w:rPr>
                <w:rFonts w:ascii="Arial" w:hAnsi="Arial" w:cs="Arial"/>
                <w:sz w:val="20"/>
              </w:rPr>
            </w:pPr>
            <w:r>
              <w:rPr>
                <w:rFonts w:ascii="Arial" w:hAnsi="Arial" w:cs="Arial"/>
                <w:sz w:val="20"/>
              </w:rPr>
              <w:t>1</w:t>
            </w:r>
          </w:p>
        </w:tc>
        <w:tc>
          <w:tcPr>
            <w:tcW w:w="543" w:type="pct"/>
            <w:tcBorders>
              <w:top w:val="single" w:sz="4" w:space="0" w:color="auto"/>
              <w:left w:val="nil"/>
              <w:bottom w:val="nil"/>
              <w:right w:val="nil"/>
            </w:tcBorders>
          </w:tcPr>
          <w:p w14:paraId="43599412" w14:textId="1F0C4D09"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8</w:t>
            </w:r>
          </w:p>
        </w:tc>
        <w:tc>
          <w:tcPr>
            <w:tcW w:w="550" w:type="pct"/>
            <w:tcBorders>
              <w:top w:val="single" w:sz="4" w:space="0" w:color="auto"/>
              <w:left w:val="nil"/>
              <w:bottom w:val="nil"/>
              <w:right w:val="nil"/>
            </w:tcBorders>
          </w:tcPr>
          <w:p w14:paraId="5E925E17" w14:textId="181615CD" w:rsidR="00FC42AF" w:rsidRPr="00A1221B" w:rsidRDefault="00FC42AF" w:rsidP="00E470F8">
            <w:pPr>
              <w:tabs>
                <w:tab w:val="decimal" w:pos="385"/>
              </w:tabs>
              <w:rPr>
                <w:rFonts w:ascii="Arial" w:hAnsi="Arial" w:cs="Arial"/>
                <w:sz w:val="20"/>
              </w:rPr>
            </w:pPr>
            <w:r>
              <w:rPr>
                <w:rFonts w:ascii="Arial" w:hAnsi="Arial" w:cs="Arial"/>
                <w:sz w:val="20"/>
              </w:rPr>
              <w:t>233</w:t>
            </w:r>
          </w:p>
        </w:tc>
        <w:tc>
          <w:tcPr>
            <w:tcW w:w="557" w:type="pct"/>
            <w:tcBorders>
              <w:top w:val="single" w:sz="4" w:space="0" w:color="auto"/>
              <w:left w:val="nil"/>
              <w:bottom w:val="nil"/>
              <w:right w:val="nil"/>
            </w:tcBorders>
          </w:tcPr>
          <w:p w14:paraId="3030733F" w14:textId="523DC052"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single" w:sz="4" w:space="0" w:color="auto"/>
              <w:left w:val="nil"/>
              <w:bottom w:val="nil"/>
              <w:right w:val="nil"/>
            </w:tcBorders>
          </w:tcPr>
          <w:p w14:paraId="4DC1F806" w14:textId="2607E461"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single" w:sz="4" w:space="0" w:color="auto"/>
              <w:left w:val="nil"/>
              <w:bottom w:val="nil"/>
              <w:right w:val="nil"/>
            </w:tcBorders>
          </w:tcPr>
          <w:p w14:paraId="2554EA9A" w14:textId="6CBFE56E" w:rsidR="00FC42AF" w:rsidRPr="00A1221B" w:rsidRDefault="00804477" w:rsidP="00804477">
            <w:pPr>
              <w:tabs>
                <w:tab w:val="decimal" w:pos="433"/>
              </w:tabs>
              <w:rPr>
                <w:rFonts w:ascii="Arial" w:hAnsi="Arial" w:cs="Arial"/>
                <w:sz w:val="20"/>
              </w:rPr>
            </w:pPr>
            <w:r>
              <w:rPr>
                <w:rFonts w:ascii="Arial" w:hAnsi="Arial" w:cs="Arial"/>
                <w:sz w:val="20"/>
              </w:rPr>
              <w:t>2</w:t>
            </w:r>
            <w:r w:rsidR="00FC42AF">
              <w:rPr>
                <w:rFonts w:ascii="Arial" w:hAnsi="Arial" w:cs="Arial"/>
                <w:sz w:val="20"/>
              </w:rPr>
              <w:t>567</w:t>
            </w:r>
            <w:r>
              <w:rPr>
                <w:rFonts w:ascii="Arial" w:hAnsi="Arial" w:cs="Arial"/>
                <w:sz w:val="20"/>
              </w:rPr>
              <w:t>.000</w:t>
            </w:r>
          </w:p>
        </w:tc>
        <w:tc>
          <w:tcPr>
            <w:tcW w:w="382" w:type="pct"/>
            <w:tcBorders>
              <w:top w:val="single" w:sz="4" w:space="0" w:color="auto"/>
              <w:left w:val="nil"/>
              <w:bottom w:val="nil"/>
              <w:right w:val="nil"/>
            </w:tcBorders>
          </w:tcPr>
          <w:p w14:paraId="45B8E96A" w14:textId="412C8B41"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single" w:sz="4" w:space="0" w:color="auto"/>
              <w:left w:val="nil"/>
              <w:bottom w:val="nil"/>
              <w:right w:val="nil"/>
            </w:tcBorders>
          </w:tcPr>
          <w:p w14:paraId="61DF6EAF" w14:textId="1412FAD3" w:rsidR="00FC42AF" w:rsidRPr="00A1221B" w:rsidRDefault="00FC42AF" w:rsidP="00E470F8">
            <w:pPr>
              <w:tabs>
                <w:tab w:val="decimal" w:pos="297"/>
              </w:tabs>
              <w:rPr>
                <w:rFonts w:ascii="Arial" w:hAnsi="Arial" w:cs="Arial"/>
                <w:sz w:val="20"/>
              </w:rPr>
            </w:pPr>
            <w:r>
              <w:rPr>
                <w:rFonts w:ascii="Arial" w:hAnsi="Arial" w:cs="Arial"/>
                <w:sz w:val="20"/>
              </w:rPr>
              <w:t>&lt;0.0001</w:t>
            </w:r>
          </w:p>
        </w:tc>
      </w:tr>
      <w:tr w:rsidR="00FC42AF" w14:paraId="0E81D06D" w14:textId="77777777" w:rsidTr="00950B0C">
        <w:tc>
          <w:tcPr>
            <w:tcW w:w="716" w:type="pct"/>
            <w:tcBorders>
              <w:top w:val="nil"/>
              <w:left w:val="nil"/>
              <w:bottom w:val="nil"/>
              <w:right w:val="nil"/>
            </w:tcBorders>
          </w:tcPr>
          <w:p w14:paraId="77026E6E"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3353570A" w14:textId="022DA3A7" w:rsidR="00FC42AF" w:rsidRPr="00A1221B" w:rsidRDefault="00FC42AF" w:rsidP="009729F7">
            <w:pPr>
              <w:tabs>
                <w:tab w:val="decimal" w:pos="236"/>
              </w:tabs>
              <w:rPr>
                <w:rFonts w:ascii="Arial" w:hAnsi="Arial" w:cs="Arial"/>
                <w:sz w:val="20"/>
              </w:rPr>
            </w:pPr>
            <w:r>
              <w:rPr>
                <w:rFonts w:ascii="Arial" w:hAnsi="Arial" w:cs="Arial"/>
                <w:sz w:val="20"/>
              </w:rPr>
              <w:t>2</w:t>
            </w:r>
          </w:p>
        </w:tc>
        <w:tc>
          <w:tcPr>
            <w:tcW w:w="543" w:type="pct"/>
            <w:tcBorders>
              <w:top w:val="nil"/>
              <w:left w:val="nil"/>
              <w:bottom w:val="nil"/>
              <w:right w:val="nil"/>
            </w:tcBorders>
          </w:tcPr>
          <w:p w14:paraId="1F3EF5D3" w14:textId="3409BF0D"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0</w:t>
            </w:r>
          </w:p>
        </w:tc>
        <w:tc>
          <w:tcPr>
            <w:tcW w:w="550" w:type="pct"/>
            <w:tcBorders>
              <w:top w:val="nil"/>
              <w:left w:val="nil"/>
              <w:bottom w:val="nil"/>
              <w:right w:val="nil"/>
            </w:tcBorders>
          </w:tcPr>
          <w:p w14:paraId="4D69554D" w14:textId="224F06A8" w:rsidR="00FC42AF" w:rsidRPr="00A1221B" w:rsidRDefault="00FC42AF" w:rsidP="00E470F8">
            <w:pPr>
              <w:tabs>
                <w:tab w:val="decimal" w:pos="385"/>
              </w:tabs>
              <w:rPr>
                <w:rFonts w:ascii="Arial" w:hAnsi="Arial" w:cs="Arial"/>
                <w:sz w:val="20"/>
              </w:rPr>
            </w:pPr>
            <w:r>
              <w:rPr>
                <w:rFonts w:ascii="Arial" w:hAnsi="Arial" w:cs="Arial"/>
                <w:sz w:val="20"/>
              </w:rPr>
              <w:t>30</w:t>
            </w:r>
          </w:p>
        </w:tc>
        <w:tc>
          <w:tcPr>
            <w:tcW w:w="557" w:type="pct"/>
            <w:tcBorders>
              <w:top w:val="nil"/>
              <w:left w:val="nil"/>
              <w:bottom w:val="nil"/>
              <w:right w:val="nil"/>
            </w:tcBorders>
          </w:tcPr>
          <w:p w14:paraId="5CFA46E9" w14:textId="68FAFBE7"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087F2D9E" w14:textId="7F9EAB06"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1205B921" w14:textId="18D1A141" w:rsidR="00FC42AF" w:rsidRPr="00A1221B" w:rsidRDefault="00804477" w:rsidP="00804477">
            <w:pPr>
              <w:tabs>
                <w:tab w:val="decimal" w:pos="433"/>
              </w:tabs>
              <w:rPr>
                <w:rFonts w:ascii="Arial" w:hAnsi="Arial" w:cs="Arial"/>
                <w:sz w:val="20"/>
              </w:rPr>
            </w:pPr>
            <w:r>
              <w:rPr>
                <w:rFonts w:ascii="Arial" w:hAnsi="Arial" w:cs="Arial"/>
                <w:sz w:val="20"/>
              </w:rPr>
              <w:t>343.900</w:t>
            </w:r>
          </w:p>
        </w:tc>
        <w:tc>
          <w:tcPr>
            <w:tcW w:w="382" w:type="pct"/>
            <w:tcBorders>
              <w:top w:val="nil"/>
              <w:left w:val="nil"/>
              <w:bottom w:val="nil"/>
              <w:right w:val="nil"/>
            </w:tcBorders>
          </w:tcPr>
          <w:p w14:paraId="009BD958" w14:textId="64E717A6"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75EDBAD7" w14:textId="0B11A59D" w:rsidR="00FC42AF" w:rsidRPr="00A1221B" w:rsidRDefault="00FC42AF" w:rsidP="00E470F8">
            <w:pPr>
              <w:tabs>
                <w:tab w:val="decimal" w:pos="297"/>
              </w:tabs>
              <w:rPr>
                <w:rFonts w:ascii="Arial" w:hAnsi="Arial" w:cs="Arial"/>
                <w:sz w:val="20"/>
              </w:rPr>
            </w:pPr>
            <w:r>
              <w:rPr>
                <w:rFonts w:ascii="Arial" w:hAnsi="Arial" w:cs="Arial"/>
                <w:sz w:val="20"/>
              </w:rPr>
              <w:t>&lt;0.0001</w:t>
            </w:r>
          </w:p>
        </w:tc>
      </w:tr>
      <w:tr w:rsidR="00FC42AF" w14:paraId="5BED9B99" w14:textId="77777777" w:rsidTr="00950B0C">
        <w:tc>
          <w:tcPr>
            <w:tcW w:w="716" w:type="pct"/>
            <w:tcBorders>
              <w:top w:val="nil"/>
              <w:left w:val="nil"/>
              <w:bottom w:val="nil"/>
              <w:right w:val="nil"/>
            </w:tcBorders>
          </w:tcPr>
          <w:p w14:paraId="25259867"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2E5460BD" w14:textId="2BEBFA36" w:rsidR="00FC42AF" w:rsidRPr="00A1221B" w:rsidRDefault="00FC42AF" w:rsidP="009729F7">
            <w:pPr>
              <w:tabs>
                <w:tab w:val="decimal" w:pos="236"/>
              </w:tabs>
              <w:rPr>
                <w:rFonts w:ascii="Arial" w:hAnsi="Arial" w:cs="Arial"/>
                <w:sz w:val="20"/>
              </w:rPr>
            </w:pPr>
            <w:r>
              <w:rPr>
                <w:rFonts w:ascii="Arial" w:hAnsi="Arial" w:cs="Arial"/>
                <w:sz w:val="20"/>
              </w:rPr>
              <w:t>3</w:t>
            </w:r>
          </w:p>
        </w:tc>
        <w:tc>
          <w:tcPr>
            <w:tcW w:w="543" w:type="pct"/>
            <w:tcBorders>
              <w:top w:val="nil"/>
              <w:left w:val="nil"/>
              <w:bottom w:val="nil"/>
              <w:right w:val="nil"/>
            </w:tcBorders>
          </w:tcPr>
          <w:p w14:paraId="76100AC6" w14:textId="74F313FC"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2</w:t>
            </w:r>
          </w:p>
        </w:tc>
        <w:tc>
          <w:tcPr>
            <w:tcW w:w="550" w:type="pct"/>
            <w:tcBorders>
              <w:top w:val="nil"/>
              <w:left w:val="nil"/>
              <w:bottom w:val="nil"/>
              <w:right w:val="nil"/>
            </w:tcBorders>
          </w:tcPr>
          <w:p w14:paraId="607A3F25" w14:textId="4CBF22D0" w:rsidR="00FC42AF" w:rsidRPr="00A1221B" w:rsidRDefault="00FC42AF" w:rsidP="00E470F8">
            <w:pPr>
              <w:tabs>
                <w:tab w:val="decimal" w:pos="385"/>
              </w:tabs>
              <w:rPr>
                <w:rFonts w:ascii="Arial" w:hAnsi="Arial" w:cs="Arial"/>
                <w:sz w:val="20"/>
              </w:rPr>
            </w:pPr>
            <w:r>
              <w:rPr>
                <w:rFonts w:ascii="Arial" w:hAnsi="Arial" w:cs="Arial"/>
                <w:sz w:val="20"/>
              </w:rPr>
              <w:t>7</w:t>
            </w:r>
          </w:p>
        </w:tc>
        <w:tc>
          <w:tcPr>
            <w:tcW w:w="557" w:type="pct"/>
            <w:tcBorders>
              <w:top w:val="nil"/>
              <w:left w:val="nil"/>
              <w:bottom w:val="nil"/>
              <w:right w:val="nil"/>
            </w:tcBorders>
          </w:tcPr>
          <w:p w14:paraId="4CD559F7" w14:textId="41A5C438"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2FE9254F" w14:textId="0F65654C"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1E49139B" w14:textId="426BD343" w:rsidR="00FC42AF" w:rsidRPr="00A1221B" w:rsidRDefault="00FC42AF" w:rsidP="00804477">
            <w:pPr>
              <w:tabs>
                <w:tab w:val="decimal" w:pos="433"/>
              </w:tabs>
              <w:rPr>
                <w:rFonts w:ascii="Arial" w:hAnsi="Arial" w:cs="Arial"/>
                <w:sz w:val="20"/>
              </w:rPr>
            </w:pPr>
            <w:r>
              <w:rPr>
                <w:rFonts w:ascii="Arial" w:hAnsi="Arial" w:cs="Arial"/>
                <w:sz w:val="20"/>
              </w:rPr>
              <w:t>59.332</w:t>
            </w:r>
          </w:p>
        </w:tc>
        <w:tc>
          <w:tcPr>
            <w:tcW w:w="382" w:type="pct"/>
            <w:tcBorders>
              <w:top w:val="nil"/>
              <w:left w:val="nil"/>
              <w:bottom w:val="nil"/>
              <w:right w:val="nil"/>
            </w:tcBorders>
          </w:tcPr>
          <w:p w14:paraId="7481D4DB" w14:textId="10832FBF"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33CFD490" w14:textId="4DE61B3A" w:rsidR="00FC42AF" w:rsidRPr="00A1221B" w:rsidRDefault="00FC42AF" w:rsidP="00E470F8">
            <w:pPr>
              <w:tabs>
                <w:tab w:val="decimal" w:pos="297"/>
              </w:tabs>
              <w:rPr>
                <w:rFonts w:ascii="Arial" w:hAnsi="Arial" w:cs="Arial"/>
                <w:sz w:val="20"/>
              </w:rPr>
            </w:pPr>
            <w:r>
              <w:rPr>
                <w:rFonts w:ascii="Arial" w:hAnsi="Arial" w:cs="Arial"/>
                <w:sz w:val="20"/>
              </w:rPr>
              <w:t>&lt;0.0001</w:t>
            </w:r>
          </w:p>
        </w:tc>
      </w:tr>
      <w:tr w:rsidR="00FC42AF" w14:paraId="676B307F" w14:textId="77777777" w:rsidTr="00950B0C">
        <w:tc>
          <w:tcPr>
            <w:tcW w:w="716" w:type="pct"/>
            <w:tcBorders>
              <w:top w:val="nil"/>
              <w:left w:val="nil"/>
              <w:bottom w:val="nil"/>
              <w:right w:val="nil"/>
            </w:tcBorders>
          </w:tcPr>
          <w:p w14:paraId="4577270E"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07222233" w14:textId="16EABA78" w:rsidR="00FC42AF" w:rsidRPr="00A1221B" w:rsidRDefault="00FC42AF" w:rsidP="009729F7">
            <w:pPr>
              <w:tabs>
                <w:tab w:val="decimal" w:pos="236"/>
              </w:tabs>
              <w:rPr>
                <w:rFonts w:ascii="Arial" w:hAnsi="Arial" w:cs="Arial"/>
                <w:sz w:val="20"/>
              </w:rPr>
            </w:pPr>
            <w:r>
              <w:rPr>
                <w:rFonts w:ascii="Arial" w:hAnsi="Arial" w:cs="Arial"/>
                <w:sz w:val="20"/>
              </w:rPr>
              <w:t>4</w:t>
            </w:r>
          </w:p>
        </w:tc>
        <w:tc>
          <w:tcPr>
            <w:tcW w:w="543" w:type="pct"/>
            <w:tcBorders>
              <w:top w:val="nil"/>
              <w:left w:val="nil"/>
              <w:bottom w:val="nil"/>
              <w:right w:val="nil"/>
            </w:tcBorders>
          </w:tcPr>
          <w:p w14:paraId="4386B766" w14:textId="2C52A894"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2</w:t>
            </w:r>
          </w:p>
        </w:tc>
        <w:tc>
          <w:tcPr>
            <w:tcW w:w="550" w:type="pct"/>
            <w:tcBorders>
              <w:top w:val="nil"/>
              <w:left w:val="nil"/>
              <w:bottom w:val="nil"/>
              <w:right w:val="nil"/>
            </w:tcBorders>
          </w:tcPr>
          <w:p w14:paraId="223698BA" w14:textId="5BA75FDA" w:rsidR="00FC42AF" w:rsidRPr="00A1221B" w:rsidRDefault="00FC42AF"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238DD4CA" w14:textId="045E3AB0"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13290C39" w14:textId="2DFE2424"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28C69B15" w14:textId="4F8A49AE" w:rsidR="00FC42AF" w:rsidRPr="00A1221B" w:rsidRDefault="00FC42AF" w:rsidP="00804477">
            <w:pPr>
              <w:tabs>
                <w:tab w:val="decimal" w:pos="433"/>
              </w:tabs>
              <w:rPr>
                <w:rFonts w:ascii="Arial" w:hAnsi="Arial" w:cs="Arial"/>
                <w:sz w:val="20"/>
              </w:rPr>
            </w:pPr>
            <w:r>
              <w:rPr>
                <w:rFonts w:ascii="Arial" w:hAnsi="Arial" w:cs="Arial"/>
                <w:sz w:val="20"/>
              </w:rPr>
              <w:t>0.174</w:t>
            </w:r>
          </w:p>
        </w:tc>
        <w:tc>
          <w:tcPr>
            <w:tcW w:w="382" w:type="pct"/>
            <w:tcBorders>
              <w:top w:val="nil"/>
              <w:left w:val="nil"/>
              <w:bottom w:val="nil"/>
              <w:right w:val="nil"/>
            </w:tcBorders>
          </w:tcPr>
          <w:p w14:paraId="66384D31" w14:textId="13CB7035"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18F64578" w14:textId="073975E0" w:rsidR="00FC42AF" w:rsidRPr="00A1221B" w:rsidRDefault="00FC42AF" w:rsidP="00E470F8">
            <w:pPr>
              <w:tabs>
                <w:tab w:val="decimal" w:pos="297"/>
              </w:tabs>
              <w:rPr>
                <w:rFonts w:ascii="Arial" w:hAnsi="Arial" w:cs="Arial"/>
                <w:sz w:val="20"/>
              </w:rPr>
            </w:pPr>
            <w:r>
              <w:rPr>
                <w:rFonts w:ascii="Arial" w:hAnsi="Arial" w:cs="Arial"/>
                <w:sz w:val="20"/>
              </w:rPr>
              <w:t>0.676</w:t>
            </w:r>
          </w:p>
        </w:tc>
      </w:tr>
      <w:tr w:rsidR="00FC42AF" w14:paraId="67EAB776" w14:textId="77777777" w:rsidTr="00950B0C">
        <w:tc>
          <w:tcPr>
            <w:tcW w:w="716" w:type="pct"/>
            <w:tcBorders>
              <w:top w:val="nil"/>
              <w:left w:val="nil"/>
              <w:bottom w:val="nil"/>
              <w:right w:val="nil"/>
            </w:tcBorders>
          </w:tcPr>
          <w:p w14:paraId="16305966"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57E248B0" w14:textId="460057B3" w:rsidR="00FC42AF" w:rsidRPr="00A1221B" w:rsidRDefault="00FC42AF" w:rsidP="009729F7">
            <w:pPr>
              <w:tabs>
                <w:tab w:val="decimal" w:pos="236"/>
              </w:tabs>
              <w:rPr>
                <w:rFonts w:ascii="Arial" w:hAnsi="Arial" w:cs="Arial"/>
                <w:sz w:val="20"/>
              </w:rPr>
            </w:pPr>
            <w:r>
              <w:rPr>
                <w:rFonts w:ascii="Arial" w:hAnsi="Arial" w:cs="Arial"/>
                <w:sz w:val="20"/>
              </w:rPr>
              <w:t>5</w:t>
            </w:r>
          </w:p>
        </w:tc>
        <w:tc>
          <w:tcPr>
            <w:tcW w:w="543" w:type="pct"/>
            <w:tcBorders>
              <w:top w:val="nil"/>
              <w:left w:val="nil"/>
              <w:bottom w:val="nil"/>
              <w:right w:val="nil"/>
            </w:tcBorders>
          </w:tcPr>
          <w:p w14:paraId="1F0B6F57" w14:textId="7A19FD52"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0</w:t>
            </w:r>
          </w:p>
        </w:tc>
        <w:tc>
          <w:tcPr>
            <w:tcW w:w="550" w:type="pct"/>
            <w:tcBorders>
              <w:top w:val="nil"/>
              <w:left w:val="nil"/>
              <w:bottom w:val="nil"/>
              <w:right w:val="nil"/>
            </w:tcBorders>
          </w:tcPr>
          <w:p w14:paraId="14BB298F" w14:textId="3F150350" w:rsidR="00FC42AF" w:rsidRPr="00A1221B" w:rsidRDefault="00FC42AF"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6B361B54" w14:textId="34A3D347"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15C35131" w14:textId="0BED2576"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010E7908" w14:textId="38832A72" w:rsidR="00FC42AF" w:rsidRPr="00A1221B" w:rsidRDefault="008845EE" w:rsidP="008845EE">
            <w:pPr>
              <w:tabs>
                <w:tab w:val="decimal" w:pos="433"/>
              </w:tabs>
              <w:jc w:val="center"/>
              <w:rPr>
                <w:rFonts w:ascii="Arial" w:hAnsi="Arial" w:cs="Arial"/>
                <w:sz w:val="20"/>
              </w:rPr>
            </w:pPr>
            <w:r>
              <w:rPr>
                <w:rFonts w:ascii="Arial" w:hAnsi="Arial" w:cs="Arial"/>
                <w:sz w:val="20"/>
              </w:rPr>
              <w:t>-</w:t>
            </w:r>
          </w:p>
        </w:tc>
        <w:tc>
          <w:tcPr>
            <w:tcW w:w="382" w:type="pct"/>
            <w:tcBorders>
              <w:top w:val="nil"/>
              <w:left w:val="nil"/>
              <w:bottom w:val="nil"/>
              <w:right w:val="nil"/>
            </w:tcBorders>
          </w:tcPr>
          <w:p w14:paraId="2345CC2C" w14:textId="6D71EA31" w:rsidR="00FC42AF" w:rsidRPr="00A1221B" w:rsidRDefault="008845EE" w:rsidP="00A1221B">
            <w:pPr>
              <w:tabs>
                <w:tab w:val="left" w:pos="7650"/>
              </w:tabs>
              <w:rPr>
                <w:rFonts w:ascii="Arial" w:hAnsi="Arial" w:cs="Arial"/>
                <w:sz w:val="20"/>
              </w:rPr>
            </w:pPr>
            <w:r>
              <w:rPr>
                <w:rFonts w:ascii="Arial" w:hAnsi="Arial" w:cs="Arial"/>
                <w:sz w:val="20"/>
              </w:rPr>
              <w:t>-</w:t>
            </w:r>
          </w:p>
        </w:tc>
        <w:tc>
          <w:tcPr>
            <w:tcW w:w="479" w:type="pct"/>
            <w:tcBorders>
              <w:top w:val="nil"/>
              <w:left w:val="nil"/>
              <w:bottom w:val="nil"/>
              <w:right w:val="nil"/>
            </w:tcBorders>
          </w:tcPr>
          <w:p w14:paraId="47B68A87" w14:textId="1568C20A" w:rsidR="00FC42AF" w:rsidRPr="00A1221B" w:rsidRDefault="008845EE" w:rsidP="008845EE">
            <w:pPr>
              <w:tabs>
                <w:tab w:val="decimal" w:pos="297"/>
              </w:tabs>
              <w:jc w:val="center"/>
              <w:rPr>
                <w:rFonts w:ascii="Arial" w:hAnsi="Arial" w:cs="Arial"/>
                <w:sz w:val="20"/>
              </w:rPr>
            </w:pPr>
            <w:r>
              <w:rPr>
                <w:rFonts w:ascii="Arial" w:hAnsi="Arial" w:cs="Arial"/>
                <w:sz w:val="20"/>
              </w:rPr>
              <w:t>-</w:t>
            </w:r>
          </w:p>
        </w:tc>
      </w:tr>
      <w:tr w:rsidR="00FC42AF" w14:paraId="3B20AE29" w14:textId="77777777" w:rsidTr="00950B0C">
        <w:tc>
          <w:tcPr>
            <w:tcW w:w="716" w:type="pct"/>
            <w:tcBorders>
              <w:top w:val="nil"/>
              <w:left w:val="nil"/>
              <w:bottom w:val="nil"/>
              <w:right w:val="nil"/>
            </w:tcBorders>
          </w:tcPr>
          <w:p w14:paraId="328D1E15"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6AC7DAE7" w14:textId="16313A28" w:rsidR="00FC42AF" w:rsidRPr="00A1221B" w:rsidRDefault="00FC42AF" w:rsidP="009729F7">
            <w:pPr>
              <w:tabs>
                <w:tab w:val="decimal" w:pos="236"/>
              </w:tabs>
              <w:rPr>
                <w:rFonts w:ascii="Arial" w:hAnsi="Arial" w:cs="Arial"/>
                <w:sz w:val="20"/>
              </w:rPr>
            </w:pPr>
            <w:r>
              <w:rPr>
                <w:rFonts w:ascii="Arial" w:hAnsi="Arial" w:cs="Arial"/>
                <w:sz w:val="20"/>
              </w:rPr>
              <w:t>6</w:t>
            </w:r>
          </w:p>
        </w:tc>
        <w:tc>
          <w:tcPr>
            <w:tcW w:w="543" w:type="pct"/>
            <w:tcBorders>
              <w:top w:val="nil"/>
              <w:left w:val="nil"/>
              <w:bottom w:val="nil"/>
              <w:right w:val="nil"/>
            </w:tcBorders>
          </w:tcPr>
          <w:p w14:paraId="1025B081" w14:textId="52181E89"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0</w:t>
            </w:r>
          </w:p>
        </w:tc>
        <w:tc>
          <w:tcPr>
            <w:tcW w:w="550" w:type="pct"/>
            <w:tcBorders>
              <w:top w:val="nil"/>
              <w:left w:val="nil"/>
              <w:bottom w:val="nil"/>
              <w:right w:val="nil"/>
            </w:tcBorders>
          </w:tcPr>
          <w:p w14:paraId="10F0FD96" w14:textId="242CFB17" w:rsidR="00FC42AF" w:rsidRPr="00A1221B" w:rsidRDefault="00FC42AF" w:rsidP="00E470F8">
            <w:pPr>
              <w:tabs>
                <w:tab w:val="decimal" w:pos="385"/>
              </w:tabs>
              <w:rPr>
                <w:rFonts w:ascii="Arial" w:hAnsi="Arial" w:cs="Arial"/>
                <w:sz w:val="20"/>
              </w:rPr>
            </w:pPr>
            <w:r>
              <w:rPr>
                <w:rFonts w:ascii="Arial" w:hAnsi="Arial" w:cs="Arial"/>
                <w:sz w:val="20"/>
              </w:rPr>
              <w:t>1</w:t>
            </w:r>
          </w:p>
        </w:tc>
        <w:tc>
          <w:tcPr>
            <w:tcW w:w="557" w:type="pct"/>
            <w:tcBorders>
              <w:top w:val="nil"/>
              <w:left w:val="nil"/>
              <w:bottom w:val="nil"/>
              <w:right w:val="nil"/>
            </w:tcBorders>
          </w:tcPr>
          <w:p w14:paraId="083D2A3A" w14:textId="647CB981"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2D89B888" w14:textId="1FE56760"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1778FB7F" w14:textId="7FFBFA82" w:rsidR="00FC42AF" w:rsidRPr="00A1221B" w:rsidRDefault="00FC42AF" w:rsidP="00804477">
            <w:pPr>
              <w:tabs>
                <w:tab w:val="decimal" w:pos="433"/>
              </w:tabs>
              <w:rPr>
                <w:rFonts w:ascii="Arial" w:hAnsi="Arial" w:cs="Arial"/>
                <w:sz w:val="20"/>
              </w:rPr>
            </w:pPr>
            <w:r>
              <w:rPr>
                <w:rFonts w:ascii="Arial" w:hAnsi="Arial" w:cs="Arial"/>
                <w:sz w:val="20"/>
              </w:rPr>
              <w:t>11.462</w:t>
            </w:r>
          </w:p>
        </w:tc>
        <w:tc>
          <w:tcPr>
            <w:tcW w:w="382" w:type="pct"/>
            <w:tcBorders>
              <w:top w:val="nil"/>
              <w:left w:val="nil"/>
              <w:bottom w:val="nil"/>
              <w:right w:val="nil"/>
            </w:tcBorders>
          </w:tcPr>
          <w:p w14:paraId="1754F28F" w14:textId="4D93C54E"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30EA0D00" w14:textId="00C63921" w:rsidR="00FC42AF" w:rsidRPr="00A1221B" w:rsidRDefault="00FC42AF" w:rsidP="00E470F8">
            <w:pPr>
              <w:tabs>
                <w:tab w:val="decimal" w:pos="297"/>
              </w:tabs>
              <w:rPr>
                <w:rFonts w:ascii="Arial" w:hAnsi="Arial" w:cs="Arial"/>
                <w:sz w:val="20"/>
              </w:rPr>
            </w:pPr>
            <w:r>
              <w:rPr>
                <w:rFonts w:ascii="Arial" w:hAnsi="Arial" w:cs="Arial"/>
                <w:sz w:val="20"/>
              </w:rPr>
              <w:t>0.001</w:t>
            </w:r>
          </w:p>
        </w:tc>
      </w:tr>
      <w:tr w:rsidR="00FC42AF" w14:paraId="5D379B7C" w14:textId="77777777" w:rsidTr="00950B0C">
        <w:tc>
          <w:tcPr>
            <w:tcW w:w="716" w:type="pct"/>
            <w:tcBorders>
              <w:top w:val="nil"/>
              <w:left w:val="nil"/>
              <w:bottom w:val="nil"/>
              <w:right w:val="nil"/>
            </w:tcBorders>
          </w:tcPr>
          <w:p w14:paraId="6FC630FC"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21522870" w14:textId="7990D8FC" w:rsidR="00FC42AF" w:rsidRPr="00A1221B" w:rsidRDefault="00FC42AF" w:rsidP="009729F7">
            <w:pPr>
              <w:tabs>
                <w:tab w:val="decimal" w:pos="236"/>
              </w:tabs>
              <w:rPr>
                <w:rFonts w:ascii="Arial" w:hAnsi="Arial" w:cs="Arial"/>
                <w:sz w:val="20"/>
              </w:rPr>
            </w:pPr>
            <w:r>
              <w:rPr>
                <w:rFonts w:ascii="Arial" w:hAnsi="Arial" w:cs="Arial"/>
                <w:sz w:val="20"/>
              </w:rPr>
              <w:t>7</w:t>
            </w:r>
          </w:p>
        </w:tc>
        <w:tc>
          <w:tcPr>
            <w:tcW w:w="543" w:type="pct"/>
            <w:tcBorders>
              <w:top w:val="nil"/>
              <w:left w:val="nil"/>
              <w:bottom w:val="nil"/>
              <w:right w:val="nil"/>
            </w:tcBorders>
          </w:tcPr>
          <w:p w14:paraId="67E611F3" w14:textId="02584F68"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0</w:t>
            </w:r>
          </w:p>
        </w:tc>
        <w:tc>
          <w:tcPr>
            <w:tcW w:w="550" w:type="pct"/>
            <w:tcBorders>
              <w:top w:val="nil"/>
              <w:left w:val="nil"/>
              <w:bottom w:val="nil"/>
              <w:right w:val="nil"/>
            </w:tcBorders>
          </w:tcPr>
          <w:p w14:paraId="004B7923" w14:textId="6CA971D3" w:rsidR="00FC42AF" w:rsidRPr="00A1221B" w:rsidRDefault="00FC42AF"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6A72EFBB" w14:textId="3EBB9BBA"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5663C5BB" w14:textId="3E51FDD8"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4CA57545" w14:textId="72A1562C" w:rsidR="00FC42AF" w:rsidRPr="00A1221B" w:rsidRDefault="008845EE" w:rsidP="008845EE">
            <w:pPr>
              <w:tabs>
                <w:tab w:val="decimal" w:pos="433"/>
              </w:tabs>
              <w:jc w:val="center"/>
              <w:rPr>
                <w:rFonts w:ascii="Arial" w:hAnsi="Arial" w:cs="Arial"/>
                <w:sz w:val="20"/>
              </w:rPr>
            </w:pPr>
            <w:r>
              <w:rPr>
                <w:rFonts w:ascii="Arial" w:hAnsi="Arial" w:cs="Arial"/>
                <w:sz w:val="20"/>
              </w:rPr>
              <w:t>-</w:t>
            </w:r>
          </w:p>
        </w:tc>
        <w:tc>
          <w:tcPr>
            <w:tcW w:w="382" w:type="pct"/>
            <w:tcBorders>
              <w:top w:val="nil"/>
              <w:left w:val="nil"/>
              <w:bottom w:val="nil"/>
              <w:right w:val="nil"/>
            </w:tcBorders>
          </w:tcPr>
          <w:p w14:paraId="0290A5D9" w14:textId="202F09B9" w:rsidR="00FC42AF" w:rsidRPr="00A1221B" w:rsidRDefault="008845EE" w:rsidP="00A1221B">
            <w:pPr>
              <w:tabs>
                <w:tab w:val="left" w:pos="7650"/>
              </w:tabs>
              <w:rPr>
                <w:rFonts w:ascii="Arial" w:hAnsi="Arial" w:cs="Arial"/>
                <w:sz w:val="20"/>
              </w:rPr>
            </w:pPr>
            <w:r>
              <w:rPr>
                <w:rFonts w:ascii="Arial" w:hAnsi="Arial" w:cs="Arial"/>
                <w:sz w:val="20"/>
              </w:rPr>
              <w:t>-</w:t>
            </w:r>
          </w:p>
        </w:tc>
        <w:tc>
          <w:tcPr>
            <w:tcW w:w="479" w:type="pct"/>
            <w:tcBorders>
              <w:top w:val="nil"/>
              <w:left w:val="nil"/>
              <w:bottom w:val="nil"/>
              <w:right w:val="nil"/>
            </w:tcBorders>
          </w:tcPr>
          <w:p w14:paraId="023717C7" w14:textId="2FEFA70C" w:rsidR="00FC42AF" w:rsidRPr="00A1221B" w:rsidRDefault="008845EE" w:rsidP="008845EE">
            <w:pPr>
              <w:tabs>
                <w:tab w:val="decimal" w:pos="297"/>
              </w:tabs>
              <w:jc w:val="center"/>
              <w:rPr>
                <w:rFonts w:ascii="Arial" w:hAnsi="Arial" w:cs="Arial"/>
                <w:sz w:val="20"/>
              </w:rPr>
            </w:pPr>
            <w:r>
              <w:rPr>
                <w:rFonts w:ascii="Arial" w:hAnsi="Arial" w:cs="Arial"/>
                <w:sz w:val="20"/>
              </w:rPr>
              <w:t>-</w:t>
            </w:r>
          </w:p>
        </w:tc>
      </w:tr>
      <w:tr w:rsidR="00FC42AF" w14:paraId="5548A033" w14:textId="77777777" w:rsidTr="00950B0C">
        <w:tc>
          <w:tcPr>
            <w:tcW w:w="716" w:type="pct"/>
            <w:tcBorders>
              <w:top w:val="nil"/>
              <w:left w:val="nil"/>
              <w:bottom w:val="nil"/>
              <w:right w:val="nil"/>
            </w:tcBorders>
          </w:tcPr>
          <w:p w14:paraId="3954BD02"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02E3B8A4" w14:textId="44E12E30" w:rsidR="00FC42AF" w:rsidRPr="00A1221B" w:rsidRDefault="00FC42AF" w:rsidP="009729F7">
            <w:pPr>
              <w:tabs>
                <w:tab w:val="decimal" w:pos="236"/>
              </w:tabs>
              <w:rPr>
                <w:rFonts w:ascii="Arial" w:hAnsi="Arial" w:cs="Arial"/>
                <w:sz w:val="20"/>
              </w:rPr>
            </w:pPr>
            <w:r>
              <w:rPr>
                <w:rFonts w:ascii="Arial" w:hAnsi="Arial" w:cs="Arial"/>
                <w:sz w:val="20"/>
              </w:rPr>
              <w:t>8</w:t>
            </w:r>
          </w:p>
        </w:tc>
        <w:tc>
          <w:tcPr>
            <w:tcW w:w="543" w:type="pct"/>
            <w:tcBorders>
              <w:top w:val="nil"/>
              <w:left w:val="nil"/>
              <w:bottom w:val="nil"/>
              <w:right w:val="nil"/>
            </w:tcBorders>
          </w:tcPr>
          <w:p w14:paraId="752F26EB" w14:textId="10EAEFE6"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0</w:t>
            </w:r>
          </w:p>
        </w:tc>
        <w:tc>
          <w:tcPr>
            <w:tcW w:w="550" w:type="pct"/>
            <w:tcBorders>
              <w:top w:val="nil"/>
              <w:left w:val="nil"/>
              <w:bottom w:val="nil"/>
              <w:right w:val="nil"/>
            </w:tcBorders>
          </w:tcPr>
          <w:p w14:paraId="2CF5002F" w14:textId="3B80AF01" w:rsidR="00FC42AF" w:rsidRPr="00A1221B" w:rsidRDefault="00FC42AF"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nil"/>
              <w:right w:val="nil"/>
            </w:tcBorders>
          </w:tcPr>
          <w:p w14:paraId="4E14CA63" w14:textId="6A84280D"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0EA52477" w14:textId="6B0159BB"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70749D4E" w14:textId="44C816FC" w:rsidR="00FC42AF" w:rsidRPr="00A1221B" w:rsidRDefault="008845EE" w:rsidP="008845EE">
            <w:pPr>
              <w:tabs>
                <w:tab w:val="decimal" w:pos="433"/>
              </w:tabs>
              <w:jc w:val="center"/>
              <w:rPr>
                <w:rFonts w:ascii="Arial" w:hAnsi="Arial" w:cs="Arial"/>
                <w:sz w:val="20"/>
              </w:rPr>
            </w:pPr>
            <w:r>
              <w:rPr>
                <w:rFonts w:ascii="Arial" w:hAnsi="Arial" w:cs="Arial"/>
                <w:sz w:val="20"/>
              </w:rPr>
              <w:t>-</w:t>
            </w:r>
          </w:p>
        </w:tc>
        <w:tc>
          <w:tcPr>
            <w:tcW w:w="382" w:type="pct"/>
            <w:tcBorders>
              <w:top w:val="nil"/>
              <w:left w:val="nil"/>
              <w:bottom w:val="nil"/>
              <w:right w:val="nil"/>
            </w:tcBorders>
          </w:tcPr>
          <w:p w14:paraId="44C39C64" w14:textId="2593BA93" w:rsidR="00FC42AF" w:rsidRPr="00A1221B" w:rsidRDefault="008845EE" w:rsidP="00A1221B">
            <w:pPr>
              <w:tabs>
                <w:tab w:val="left" w:pos="7650"/>
              </w:tabs>
              <w:rPr>
                <w:rFonts w:ascii="Arial" w:hAnsi="Arial" w:cs="Arial"/>
                <w:sz w:val="20"/>
              </w:rPr>
            </w:pPr>
            <w:r>
              <w:rPr>
                <w:rFonts w:ascii="Arial" w:hAnsi="Arial" w:cs="Arial"/>
                <w:sz w:val="20"/>
              </w:rPr>
              <w:t>-</w:t>
            </w:r>
          </w:p>
        </w:tc>
        <w:tc>
          <w:tcPr>
            <w:tcW w:w="479" w:type="pct"/>
            <w:tcBorders>
              <w:top w:val="nil"/>
              <w:left w:val="nil"/>
              <w:bottom w:val="nil"/>
              <w:right w:val="nil"/>
            </w:tcBorders>
          </w:tcPr>
          <w:p w14:paraId="1F538744" w14:textId="799C9888" w:rsidR="00FC42AF" w:rsidRPr="00A1221B" w:rsidRDefault="008845EE" w:rsidP="008845EE">
            <w:pPr>
              <w:tabs>
                <w:tab w:val="decimal" w:pos="297"/>
              </w:tabs>
              <w:jc w:val="center"/>
              <w:rPr>
                <w:rFonts w:ascii="Arial" w:hAnsi="Arial" w:cs="Arial"/>
                <w:sz w:val="20"/>
              </w:rPr>
            </w:pPr>
            <w:r>
              <w:rPr>
                <w:rFonts w:ascii="Arial" w:hAnsi="Arial" w:cs="Arial"/>
                <w:sz w:val="20"/>
              </w:rPr>
              <w:t>-</w:t>
            </w:r>
          </w:p>
        </w:tc>
      </w:tr>
      <w:tr w:rsidR="00FC42AF" w14:paraId="7D6DE51D" w14:textId="77777777" w:rsidTr="00950B0C">
        <w:tc>
          <w:tcPr>
            <w:tcW w:w="716" w:type="pct"/>
            <w:tcBorders>
              <w:top w:val="nil"/>
              <w:left w:val="nil"/>
              <w:bottom w:val="nil"/>
              <w:right w:val="nil"/>
            </w:tcBorders>
          </w:tcPr>
          <w:p w14:paraId="5E36AC3A"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nil"/>
              <w:right w:val="nil"/>
            </w:tcBorders>
          </w:tcPr>
          <w:p w14:paraId="727A15E4" w14:textId="0DB5BDFC" w:rsidR="00FC42AF" w:rsidRPr="00A1221B" w:rsidRDefault="00FC42AF" w:rsidP="009729F7">
            <w:pPr>
              <w:tabs>
                <w:tab w:val="decimal" w:pos="236"/>
              </w:tabs>
              <w:rPr>
                <w:rFonts w:ascii="Arial" w:hAnsi="Arial" w:cs="Arial"/>
                <w:sz w:val="20"/>
              </w:rPr>
            </w:pPr>
            <w:r>
              <w:rPr>
                <w:rFonts w:ascii="Arial" w:hAnsi="Arial" w:cs="Arial"/>
                <w:sz w:val="20"/>
              </w:rPr>
              <w:t>9</w:t>
            </w:r>
          </w:p>
        </w:tc>
        <w:tc>
          <w:tcPr>
            <w:tcW w:w="543" w:type="pct"/>
            <w:tcBorders>
              <w:top w:val="nil"/>
              <w:left w:val="nil"/>
              <w:bottom w:val="nil"/>
              <w:right w:val="nil"/>
            </w:tcBorders>
          </w:tcPr>
          <w:p w14:paraId="50A6D073" w14:textId="2001F6FE"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1</w:t>
            </w:r>
          </w:p>
        </w:tc>
        <w:tc>
          <w:tcPr>
            <w:tcW w:w="550" w:type="pct"/>
            <w:tcBorders>
              <w:top w:val="nil"/>
              <w:left w:val="nil"/>
              <w:bottom w:val="nil"/>
              <w:right w:val="nil"/>
            </w:tcBorders>
          </w:tcPr>
          <w:p w14:paraId="2A97B919" w14:textId="52C67CDF" w:rsidR="00FC42AF" w:rsidRPr="00A1221B" w:rsidRDefault="00FC42AF" w:rsidP="00E470F8">
            <w:pPr>
              <w:tabs>
                <w:tab w:val="decimal" w:pos="385"/>
              </w:tabs>
              <w:rPr>
                <w:rFonts w:ascii="Arial" w:hAnsi="Arial" w:cs="Arial"/>
                <w:sz w:val="20"/>
              </w:rPr>
            </w:pPr>
            <w:r>
              <w:rPr>
                <w:rFonts w:ascii="Arial" w:hAnsi="Arial" w:cs="Arial"/>
                <w:sz w:val="20"/>
              </w:rPr>
              <w:t>1</w:t>
            </w:r>
          </w:p>
        </w:tc>
        <w:tc>
          <w:tcPr>
            <w:tcW w:w="557" w:type="pct"/>
            <w:tcBorders>
              <w:top w:val="nil"/>
              <w:left w:val="nil"/>
              <w:bottom w:val="nil"/>
              <w:right w:val="nil"/>
            </w:tcBorders>
          </w:tcPr>
          <w:p w14:paraId="19A4CE73" w14:textId="2DDC4110"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nil"/>
              <w:right w:val="nil"/>
            </w:tcBorders>
          </w:tcPr>
          <w:p w14:paraId="6290C780" w14:textId="75B8CC77"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nil"/>
              <w:right w:val="nil"/>
            </w:tcBorders>
          </w:tcPr>
          <w:p w14:paraId="67425C67" w14:textId="5889D3CF" w:rsidR="00FC42AF" w:rsidRPr="00A1221B" w:rsidRDefault="00FC42AF" w:rsidP="00804477">
            <w:pPr>
              <w:tabs>
                <w:tab w:val="decimal" w:pos="433"/>
              </w:tabs>
              <w:rPr>
                <w:rFonts w:ascii="Arial" w:hAnsi="Arial" w:cs="Arial"/>
                <w:sz w:val="20"/>
              </w:rPr>
            </w:pPr>
            <w:r>
              <w:rPr>
                <w:rFonts w:ascii="Arial" w:hAnsi="Arial" w:cs="Arial"/>
                <w:sz w:val="20"/>
              </w:rPr>
              <w:t>4.775</w:t>
            </w:r>
          </w:p>
        </w:tc>
        <w:tc>
          <w:tcPr>
            <w:tcW w:w="382" w:type="pct"/>
            <w:tcBorders>
              <w:top w:val="nil"/>
              <w:left w:val="nil"/>
              <w:bottom w:val="nil"/>
              <w:right w:val="nil"/>
            </w:tcBorders>
          </w:tcPr>
          <w:p w14:paraId="77DFD2A0" w14:textId="5E140995"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nil"/>
              <w:right w:val="nil"/>
            </w:tcBorders>
          </w:tcPr>
          <w:p w14:paraId="60A043F3" w14:textId="59B6E55C" w:rsidR="00FC42AF" w:rsidRPr="00A1221B" w:rsidRDefault="00FC42AF" w:rsidP="00E470F8">
            <w:pPr>
              <w:tabs>
                <w:tab w:val="decimal" w:pos="297"/>
              </w:tabs>
              <w:rPr>
                <w:rFonts w:ascii="Arial" w:hAnsi="Arial" w:cs="Arial"/>
                <w:sz w:val="20"/>
              </w:rPr>
            </w:pPr>
            <w:r>
              <w:rPr>
                <w:rFonts w:ascii="Arial" w:hAnsi="Arial" w:cs="Arial"/>
                <w:sz w:val="20"/>
              </w:rPr>
              <w:t>0.029</w:t>
            </w:r>
          </w:p>
        </w:tc>
      </w:tr>
      <w:tr w:rsidR="00FC42AF" w14:paraId="4B496DC9" w14:textId="77777777" w:rsidTr="00950B0C">
        <w:tc>
          <w:tcPr>
            <w:tcW w:w="716" w:type="pct"/>
            <w:tcBorders>
              <w:top w:val="nil"/>
              <w:left w:val="nil"/>
              <w:bottom w:val="single" w:sz="4" w:space="0" w:color="auto"/>
              <w:right w:val="nil"/>
            </w:tcBorders>
          </w:tcPr>
          <w:p w14:paraId="7BFB7428" w14:textId="77777777" w:rsidR="00FC42AF" w:rsidRPr="00A1221B" w:rsidRDefault="00FC42AF" w:rsidP="00A1221B">
            <w:pPr>
              <w:tabs>
                <w:tab w:val="left" w:pos="7650"/>
              </w:tabs>
              <w:rPr>
                <w:rFonts w:ascii="Arial" w:hAnsi="Arial" w:cs="Arial"/>
                <w:sz w:val="20"/>
              </w:rPr>
            </w:pPr>
          </w:p>
        </w:tc>
        <w:tc>
          <w:tcPr>
            <w:tcW w:w="513" w:type="pct"/>
            <w:tcBorders>
              <w:top w:val="nil"/>
              <w:left w:val="nil"/>
              <w:bottom w:val="single" w:sz="4" w:space="0" w:color="auto"/>
              <w:right w:val="nil"/>
            </w:tcBorders>
          </w:tcPr>
          <w:p w14:paraId="78A40EA6" w14:textId="10461829" w:rsidR="00FC42AF" w:rsidRPr="00A1221B" w:rsidRDefault="00FC42AF" w:rsidP="009729F7">
            <w:pPr>
              <w:tabs>
                <w:tab w:val="decimal" w:pos="236"/>
              </w:tabs>
              <w:rPr>
                <w:rFonts w:ascii="Arial" w:hAnsi="Arial" w:cs="Arial"/>
                <w:sz w:val="20"/>
              </w:rPr>
            </w:pPr>
            <w:r>
              <w:rPr>
                <w:rFonts w:ascii="Arial" w:hAnsi="Arial" w:cs="Arial"/>
                <w:sz w:val="20"/>
              </w:rPr>
              <w:t>10</w:t>
            </w:r>
          </w:p>
        </w:tc>
        <w:tc>
          <w:tcPr>
            <w:tcW w:w="543" w:type="pct"/>
            <w:tcBorders>
              <w:top w:val="nil"/>
              <w:left w:val="nil"/>
              <w:bottom w:val="single" w:sz="4" w:space="0" w:color="auto"/>
              <w:right w:val="nil"/>
            </w:tcBorders>
          </w:tcPr>
          <w:p w14:paraId="48D2FAB4" w14:textId="066D2DBE" w:rsidR="00FC42AF" w:rsidRPr="00A1221B" w:rsidRDefault="00804477" w:rsidP="00804477">
            <w:pPr>
              <w:tabs>
                <w:tab w:val="decimal" w:pos="208"/>
                <w:tab w:val="left" w:pos="7650"/>
              </w:tabs>
              <w:rPr>
                <w:rFonts w:ascii="Arial" w:hAnsi="Arial" w:cs="Arial"/>
                <w:sz w:val="20"/>
              </w:rPr>
            </w:pPr>
            <w:r>
              <w:rPr>
                <w:rFonts w:ascii="Arial" w:hAnsi="Arial" w:cs="Arial"/>
                <w:sz w:val="20"/>
              </w:rPr>
              <w:tab/>
            </w:r>
            <w:r w:rsidR="00FC42AF">
              <w:rPr>
                <w:rFonts w:ascii="Arial" w:hAnsi="Arial" w:cs="Arial"/>
                <w:sz w:val="20"/>
              </w:rPr>
              <w:t>2</w:t>
            </w:r>
          </w:p>
        </w:tc>
        <w:tc>
          <w:tcPr>
            <w:tcW w:w="550" w:type="pct"/>
            <w:tcBorders>
              <w:top w:val="nil"/>
              <w:left w:val="nil"/>
              <w:bottom w:val="single" w:sz="4" w:space="0" w:color="auto"/>
              <w:right w:val="nil"/>
            </w:tcBorders>
          </w:tcPr>
          <w:p w14:paraId="60E8A3BB" w14:textId="23B16A1B" w:rsidR="00FC42AF" w:rsidRPr="00A1221B" w:rsidRDefault="00FC42AF" w:rsidP="00E470F8">
            <w:pPr>
              <w:tabs>
                <w:tab w:val="decimal" w:pos="385"/>
              </w:tabs>
              <w:rPr>
                <w:rFonts w:ascii="Arial" w:hAnsi="Arial" w:cs="Arial"/>
                <w:sz w:val="20"/>
              </w:rPr>
            </w:pPr>
            <w:r>
              <w:rPr>
                <w:rFonts w:ascii="Arial" w:hAnsi="Arial" w:cs="Arial"/>
                <w:sz w:val="20"/>
              </w:rPr>
              <w:t>0</w:t>
            </w:r>
          </w:p>
        </w:tc>
        <w:tc>
          <w:tcPr>
            <w:tcW w:w="557" w:type="pct"/>
            <w:tcBorders>
              <w:top w:val="nil"/>
              <w:left w:val="nil"/>
              <w:bottom w:val="single" w:sz="4" w:space="0" w:color="auto"/>
              <w:right w:val="nil"/>
            </w:tcBorders>
          </w:tcPr>
          <w:p w14:paraId="57DE1CB1" w14:textId="4D88E046" w:rsidR="00FC42AF" w:rsidRPr="00A1221B" w:rsidRDefault="00FC42AF" w:rsidP="00A1221B">
            <w:pPr>
              <w:tabs>
                <w:tab w:val="left" w:pos="7650"/>
              </w:tabs>
              <w:rPr>
                <w:rFonts w:ascii="Arial" w:hAnsi="Arial" w:cs="Arial"/>
                <w:sz w:val="20"/>
              </w:rPr>
            </w:pPr>
            <w:r>
              <w:rPr>
                <w:rFonts w:ascii="Arial" w:hAnsi="Arial" w:cs="Arial"/>
                <w:sz w:val="20"/>
              </w:rPr>
              <w:t>0.920</w:t>
            </w:r>
          </w:p>
        </w:tc>
        <w:tc>
          <w:tcPr>
            <w:tcW w:w="579" w:type="pct"/>
            <w:tcBorders>
              <w:top w:val="nil"/>
              <w:left w:val="nil"/>
              <w:bottom w:val="single" w:sz="4" w:space="0" w:color="auto"/>
              <w:right w:val="nil"/>
            </w:tcBorders>
          </w:tcPr>
          <w:p w14:paraId="7EFF9162" w14:textId="1710BEC4" w:rsidR="00FC42AF" w:rsidRPr="00A1221B" w:rsidRDefault="00FC42AF" w:rsidP="00FC42AF">
            <w:pPr>
              <w:tabs>
                <w:tab w:val="decimal" w:pos="334"/>
                <w:tab w:val="left" w:pos="7650"/>
              </w:tabs>
              <w:rPr>
                <w:rFonts w:ascii="Arial" w:hAnsi="Arial" w:cs="Arial"/>
                <w:sz w:val="20"/>
              </w:rPr>
            </w:pPr>
            <w:r>
              <w:rPr>
                <w:rFonts w:ascii="Arial" w:hAnsi="Arial" w:cs="Arial"/>
                <w:sz w:val="20"/>
              </w:rPr>
              <w:t>0.080</w:t>
            </w:r>
          </w:p>
        </w:tc>
        <w:tc>
          <w:tcPr>
            <w:tcW w:w="681" w:type="pct"/>
            <w:tcBorders>
              <w:top w:val="nil"/>
              <w:left w:val="nil"/>
              <w:bottom w:val="single" w:sz="4" w:space="0" w:color="auto"/>
              <w:right w:val="nil"/>
            </w:tcBorders>
          </w:tcPr>
          <w:p w14:paraId="2D7949B3" w14:textId="1217786E" w:rsidR="00FC42AF" w:rsidRPr="00A1221B" w:rsidRDefault="00FC42AF" w:rsidP="00804477">
            <w:pPr>
              <w:tabs>
                <w:tab w:val="decimal" w:pos="433"/>
              </w:tabs>
              <w:rPr>
                <w:rFonts w:ascii="Arial" w:hAnsi="Arial" w:cs="Arial"/>
                <w:sz w:val="20"/>
              </w:rPr>
            </w:pPr>
            <w:r>
              <w:rPr>
                <w:rFonts w:ascii="Arial" w:hAnsi="Arial" w:cs="Arial"/>
                <w:sz w:val="20"/>
              </w:rPr>
              <w:t>0.174</w:t>
            </w:r>
          </w:p>
        </w:tc>
        <w:tc>
          <w:tcPr>
            <w:tcW w:w="382" w:type="pct"/>
            <w:tcBorders>
              <w:top w:val="nil"/>
              <w:left w:val="nil"/>
              <w:bottom w:val="single" w:sz="4" w:space="0" w:color="auto"/>
              <w:right w:val="nil"/>
            </w:tcBorders>
          </w:tcPr>
          <w:p w14:paraId="210D1D7D" w14:textId="41C07058" w:rsidR="00FC42AF" w:rsidRPr="00A1221B" w:rsidRDefault="00FC42AF" w:rsidP="00A1221B">
            <w:pPr>
              <w:tabs>
                <w:tab w:val="left" w:pos="7650"/>
              </w:tabs>
              <w:rPr>
                <w:rFonts w:ascii="Arial" w:hAnsi="Arial" w:cs="Arial"/>
                <w:sz w:val="20"/>
              </w:rPr>
            </w:pPr>
            <w:r>
              <w:rPr>
                <w:rFonts w:ascii="Arial" w:hAnsi="Arial" w:cs="Arial"/>
                <w:sz w:val="20"/>
              </w:rPr>
              <w:t>1</w:t>
            </w:r>
          </w:p>
        </w:tc>
        <w:tc>
          <w:tcPr>
            <w:tcW w:w="479" w:type="pct"/>
            <w:tcBorders>
              <w:top w:val="nil"/>
              <w:left w:val="nil"/>
              <w:bottom w:val="single" w:sz="4" w:space="0" w:color="auto"/>
              <w:right w:val="nil"/>
            </w:tcBorders>
          </w:tcPr>
          <w:p w14:paraId="0F310680" w14:textId="2973C770" w:rsidR="00FC42AF" w:rsidRPr="00A1221B" w:rsidRDefault="00FC42AF" w:rsidP="00E470F8">
            <w:pPr>
              <w:tabs>
                <w:tab w:val="decimal" w:pos="297"/>
              </w:tabs>
              <w:rPr>
                <w:rFonts w:ascii="Arial" w:hAnsi="Arial" w:cs="Arial"/>
                <w:sz w:val="20"/>
              </w:rPr>
            </w:pPr>
            <w:r>
              <w:rPr>
                <w:rFonts w:ascii="Arial" w:hAnsi="Arial" w:cs="Arial"/>
                <w:sz w:val="20"/>
              </w:rPr>
              <w:t>0.676</w:t>
            </w:r>
          </w:p>
        </w:tc>
      </w:tr>
    </w:tbl>
    <w:p w14:paraId="7C3C3222" w14:textId="77777777" w:rsidR="00A1221B" w:rsidRDefault="00A1221B" w:rsidP="000C55F4">
      <w:pPr>
        <w:tabs>
          <w:tab w:val="left" w:pos="7650"/>
        </w:tabs>
      </w:pPr>
    </w:p>
    <w:p w14:paraId="3B48AE02" w14:textId="368FB79E" w:rsidR="000C55F4" w:rsidRDefault="000C55F4">
      <w:pPr>
        <w:rPr>
          <w:rFonts w:ascii="Times New Roman" w:hAnsi="Times New Roman" w:cs="Times New Roman"/>
          <w:b/>
          <w:lang w:val="en-CA"/>
        </w:rPr>
      </w:pPr>
      <w:r>
        <w:rPr>
          <w:rFonts w:ascii="Times New Roman" w:hAnsi="Times New Roman" w:cs="Times New Roman"/>
          <w:b/>
          <w:lang w:val="en-CA"/>
        </w:rPr>
        <w:br w:type="page"/>
      </w:r>
    </w:p>
    <w:p w14:paraId="4283F4FA" w14:textId="77777777" w:rsidR="00B91559" w:rsidRDefault="00B91559">
      <w:pPr>
        <w:rPr>
          <w:rFonts w:ascii="Times New Roman" w:hAnsi="Times New Roman" w:cs="Times New Roman"/>
          <w:b/>
          <w:lang w:val="en-CA"/>
        </w:rPr>
        <w:sectPr w:rsidR="00B91559" w:rsidSect="00DC689D">
          <w:pgSz w:w="12240" w:h="15840"/>
          <w:pgMar w:top="720" w:right="720" w:bottom="720" w:left="720" w:header="706" w:footer="706" w:gutter="0"/>
          <w:cols w:space="708"/>
          <w:docGrid w:linePitch="360"/>
        </w:sectPr>
      </w:pPr>
    </w:p>
    <w:p w14:paraId="7104AF1F" w14:textId="1FD06EEF" w:rsidR="008C39A4" w:rsidRPr="00DC689D" w:rsidRDefault="00DC689D">
      <w:pPr>
        <w:rPr>
          <w:b/>
          <w:lang w:val="en-CA"/>
        </w:rPr>
      </w:pPr>
      <w:r w:rsidRPr="00DC689D">
        <w:rPr>
          <w:b/>
          <w:lang w:val="en-CA"/>
        </w:rPr>
        <w:t>Supplemental Figures</w:t>
      </w:r>
    </w:p>
    <w:p w14:paraId="0328A987" w14:textId="5897BF04" w:rsidR="00DC6FFC" w:rsidRDefault="00A7484F" w:rsidP="00DC6FFC">
      <w:pPr>
        <w:rPr>
          <w:b/>
        </w:rPr>
      </w:pPr>
      <w:r w:rsidRPr="00A7484F">
        <w:rPr>
          <w:b/>
          <w:noProof/>
        </w:rPr>
        <w:drawing>
          <wp:inline distT="0" distB="0" distL="0" distR="0" wp14:anchorId="5087EF51" wp14:editId="3727601F">
            <wp:extent cx="5943600" cy="3179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3642"/>
                    <a:stretch/>
                  </pic:blipFill>
                  <pic:spPr bwMode="auto">
                    <a:xfrm>
                      <a:off x="0" y="0"/>
                      <a:ext cx="5943600" cy="317929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7AFD524" w14:textId="6F359394" w:rsidR="00C86819" w:rsidRPr="00A7484F" w:rsidRDefault="00DC6FFC" w:rsidP="00AA503B">
      <w:pPr>
        <w:jc w:val="both"/>
      </w:pPr>
      <w:r>
        <w:rPr>
          <w:b/>
        </w:rPr>
        <w:t>Figure S1.</w:t>
      </w:r>
      <w:r w:rsidRPr="00DC6FFC">
        <w:t xml:space="preserve"> Estimates of the average number of generations per day experienced by the </w:t>
      </w:r>
      <w:r w:rsidRPr="00DC6FFC">
        <w:rPr>
          <w:i/>
        </w:rPr>
        <w:t>Vibrio fischeri</w:t>
      </w:r>
      <w:r w:rsidRPr="00DC6FFC">
        <w:t xml:space="preserve"> wild-type, </w:t>
      </w:r>
      <w:r w:rsidRPr="00DC6FFC">
        <w:rPr>
          <w:i/>
        </w:rPr>
        <w:t>Vibrio cholerae</w:t>
      </w:r>
      <w:r w:rsidRPr="00DC6FFC">
        <w:t xml:space="preserve"> wild-type, </w:t>
      </w:r>
      <w:r w:rsidRPr="00DC6FFC">
        <w:rPr>
          <w:i/>
        </w:rPr>
        <w:t>Vibrio fischeri</w:t>
      </w:r>
      <w:r w:rsidRPr="00DC6FFC">
        <w:t xml:space="preserve"> </w:t>
      </w:r>
      <w:r w:rsidRPr="00DC6FFC">
        <w:rPr>
          <w:i/>
        </w:rPr>
        <w:sym w:font="Symbol" w:char="F044"/>
      </w:r>
      <w:r w:rsidRPr="00DC6FFC">
        <w:rPr>
          <w:i/>
        </w:rPr>
        <w:t>mutS</w:t>
      </w:r>
      <w:r w:rsidRPr="00DC6FFC">
        <w:t xml:space="preserve">, and </w:t>
      </w:r>
      <w:r w:rsidRPr="00DC6FFC">
        <w:rPr>
          <w:i/>
        </w:rPr>
        <w:t>Vibrio cholerae</w:t>
      </w:r>
      <w:r w:rsidRPr="00DC6FFC">
        <w:t xml:space="preserve"> </w:t>
      </w:r>
      <w:r w:rsidRPr="00DC6FFC">
        <w:rPr>
          <w:i/>
        </w:rPr>
        <w:sym w:font="Symbol" w:char="F044"/>
      </w:r>
      <w:r w:rsidRPr="00DC6FFC">
        <w:rPr>
          <w:i/>
        </w:rPr>
        <w:t>mutS</w:t>
      </w:r>
      <w:r w:rsidRPr="00DC6FFC">
        <w:t xml:space="preserve"> mutation accumulation lineages.</w:t>
      </w:r>
      <w:r>
        <w:t xml:space="preserve"> Each measurement was taken using the average of ten representative lineages per MA experiment and measurement error is such that error bars representing 95% confidence intervals are not visible outside of the markers. </w:t>
      </w:r>
    </w:p>
    <w:p w14:paraId="51A1D4F2" w14:textId="61ABC233" w:rsidR="001C6754" w:rsidRDefault="001C6754">
      <w:pPr>
        <w:rPr>
          <w:rFonts w:ascii="Times New Roman" w:hAnsi="Times New Roman" w:cs="Times New Roman"/>
          <w:lang w:val="en-CA"/>
        </w:rPr>
      </w:pPr>
      <w:r>
        <w:rPr>
          <w:rFonts w:ascii="Times New Roman" w:hAnsi="Times New Roman" w:cs="Times New Roman"/>
          <w:lang w:val="en-CA"/>
        </w:rPr>
        <w:br w:type="page"/>
      </w:r>
    </w:p>
    <w:p w14:paraId="15461883" w14:textId="51987B66" w:rsidR="00A479AA" w:rsidRDefault="00A479AA" w:rsidP="00D4543A">
      <w:pPr>
        <w:suppressLineNumbers/>
        <w:jc w:val="both"/>
        <w:rPr>
          <w:rFonts w:ascii="Times New Roman" w:hAnsi="Times New Roman" w:cs="Times New Roman"/>
          <w:b/>
        </w:rPr>
      </w:pPr>
    </w:p>
    <w:p w14:paraId="4EB67E3B" w14:textId="6FAEEA9E" w:rsidR="00DC6FFC" w:rsidRPr="00EC6974" w:rsidRDefault="000451C0" w:rsidP="00DC6FFC">
      <w:r w:rsidRPr="000451C0">
        <w:rPr>
          <w:noProof/>
        </w:rPr>
        <w:drawing>
          <wp:inline distT="0" distB="0" distL="0" distR="0" wp14:anchorId="246B9E98" wp14:editId="7F86A8A9">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4835"/>
                    </a:xfrm>
                    <a:prstGeom prst="rect">
                      <a:avLst/>
                    </a:prstGeom>
                  </pic:spPr>
                </pic:pic>
              </a:graphicData>
            </a:graphic>
          </wp:inline>
        </w:drawing>
      </w:r>
    </w:p>
    <w:p w14:paraId="2160FA8E" w14:textId="69243F5A" w:rsidR="00D4543A" w:rsidRPr="00AF6126" w:rsidRDefault="00DC6FFC" w:rsidP="00AF6126">
      <w:pPr>
        <w:jc w:val="both"/>
      </w:pPr>
      <w:r w:rsidRPr="009E486A">
        <w:rPr>
          <w:b/>
        </w:rPr>
        <w:t xml:space="preserve">Figure </w:t>
      </w:r>
      <w:r w:rsidR="00A7484F">
        <w:rPr>
          <w:b/>
        </w:rPr>
        <w:t>S</w:t>
      </w:r>
      <w:r>
        <w:rPr>
          <w:b/>
        </w:rPr>
        <w:t>2</w:t>
      </w:r>
      <w:r w:rsidRPr="009A5932">
        <w:rPr>
          <w:b/>
        </w:rPr>
        <w:t xml:space="preserve">. </w:t>
      </w:r>
      <w:r w:rsidRPr="00A7484F">
        <w:t>Relationship between base-substitution mutation (bpsm) rate and insertion-deletion (indel) rate per effective genome size per generation with effective population size (N</w:t>
      </w:r>
      <w:r w:rsidRPr="00A7484F">
        <w:rPr>
          <w:vertAlign w:val="subscript"/>
        </w:rPr>
        <w:t>E</w:t>
      </w:r>
      <w:r w:rsidRPr="00A7484F">
        <w:t>).</w:t>
      </w:r>
      <w:r>
        <w:t xml:space="preserve"> Four multicellular eukaryotes are shown in red, three unicellular eukaryotes are shown in black, and eight prokaryotes are shown in blue</w:t>
      </w:r>
      <w:r w:rsidR="007A447E">
        <w:t xml:space="preserve"> (Sung et al., 2016)</w:t>
      </w:r>
      <w:bookmarkStart w:id="0" w:name="_GoBack"/>
      <w:bookmarkEnd w:id="0"/>
      <w:r>
        <w:t xml:space="preserve">. </w:t>
      </w:r>
      <w:r w:rsidRPr="00CE55F4">
        <w:rPr>
          <w:i/>
        </w:rPr>
        <w:t xml:space="preserve">Vibrio fischeri </w:t>
      </w:r>
      <w:r>
        <w:t xml:space="preserve">and </w:t>
      </w:r>
      <w:r w:rsidRPr="00CE55F4">
        <w:rPr>
          <w:i/>
        </w:rPr>
        <w:t>Vibrio cholerae</w:t>
      </w:r>
      <w:r>
        <w:t xml:space="preserve"> wild-type bpsm and indel rates rates estimated in this study are highlighted in green. The log-linear regressions are highly significant for both bpsm rate (r</w:t>
      </w:r>
      <w:r>
        <w:rPr>
          <w:vertAlign w:val="superscript"/>
        </w:rPr>
        <w:t>2</w:t>
      </w:r>
      <w:r>
        <w:t xml:space="preserve"> = 0.86, p &lt; 0.0001, df = 14) and indel rate (r</w:t>
      </w:r>
      <w:r>
        <w:rPr>
          <w:vertAlign w:val="superscript"/>
        </w:rPr>
        <w:t>2</w:t>
      </w:r>
      <w:r>
        <w:t xml:space="preserve"> = 0.94, p &lt; 0.0001, df = 14).</w:t>
      </w:r>
    </w:p>
    <w:sectPr w:rsidR="00D4543A" w:rsidRPr="00AF6126" w:rsidSect="00DC689D">
      <w:pgSz w:w="12240" w:h="15840"/>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Yu Mincho">
    <w:panose1 w:val="02020400000000000000"/>
    <w:charset w:val="80"/>
    <w:family w:val="auto"/>
    <w:pitch w:val="variable"/>
    <w:sig w:usb0="800002E7" w:usb1="2AC7FCFF"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4DA"/>
    <w:rsid w:val="000451C0"/>
    <w:rsid w:val="00081E09"/>
    <w:rsid w:val="000C55F4"/>
    <w:rsid w:val="000F5ED2"/>
    <w:rsid w:val="00110326"/>
    <w:rsid w:val="00171F59"/>
    <w:rsid w:val="001C6754"/>
    <w:rsid w:val="002B09D8"/>
    <w:rsid w:val="002C2DC8"/>
    <w:rsid w:val="00347E06"/>
    <w:rsid w:val="003A4C4E"/>
    <w:rsid w:val="003B16DA"/>
    <w:rsid w:val="004235BC"/>
    <w:rsid w:val="00427FA6"/>
    <w:rsid w:val="004E5184"/>
    <w:rsid w:val="0054274A"/>
    <w:rsid w:val="005C0E2E"/>
    <w:rsid w:val="005F2A8A"/>
    <w:rsid w:val="00602083"/>
    <w:rsid w:val="006474E9"/>
    <w:rsid w:val="00675AE8"/>
    <w:rsid w:val="00691C6E"/>
    <w:rsid w:val="00764C27"/>
    <w:rsid w:val="00766092"/>
    <w:rsid w:val="007A447E"/>
    <w:rsid w:val="00804477"/>
    <w:rsid w:val="008644DA"/>
    <w:rsid w:val="008845EE"/>
    <w:rsid w:val="008C39A4"/>
    <w:rsid w:val="008C673C"/>
    <w:rsid w:val="00916B1E"/>
    <w:rsid w:val="00950B0C"/>
    <w:rsid w:val="009729F7"/>
    <w:rsid w:val="00975120"/>
    <w:rsid w:val="00986BAF"/>
    <w:rsid w:val="009E0024"/>
    <w:rsid w:val="00A1221B"/>
    <w:rsid w:val="00A479AA"/>
    <w:rsid w:val="00A70EF0"/>
    <w:rsid w:val="00A7484F"/>
    <w:rsid w:val="00AA503B"/>
    <w:rsid w:val="00AA72C9"/>
    <w:rsid w:val="00AF6126"/>
    <w:rsid w:val="00B12A0D"/>
    <w:rsid w:val="00B468F2"/>
    <w:rsid w:val="00B91559"/>
    <w:rsid w:val="00C81A5C"/>
    <w:rsid w:val="00C86819"/>
    <w:rsid w:val="00CE55F4"/>
    <w:rsid w:val="00D24992"/>
    <w:rsid w:val="00D4543A"/>
    <w:rsid w:val="00D87DCA"/>
    <w:rsid w:val="00DC1641"/>
    <w:rsid w:val="00DC689D"/>
    <w:rsid w:val="00DC6FFC"/>
    <w:rsid w:val="00E065ED"/>
    <w:rsid w:val="00E470F8"/>
    <w:rsid w:val="00F176BB"/>
    <w:rsid w:val="00FC0334"/>
    <w:rsid w:val="00FC42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A6D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474E9"/>
    <w:rPr>
      <w:rFonts w:ascii="Times New Roman" w:eastAsia="Times New Roman" w:hAnsi="Times New Roman" w:cs="Times New Roman"/>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00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0024"/>
    <w:rPr>
      <w:rFonts w:ascii="Lucida Grande" w:hAnsi="Lucida Grande" w:cs="Lucida Grande"/>
      <w:sz w:val="18"/>
      <w:szCs w:val="18"/>
    </w:rPr>
  </w:style>
  <w:style w:type="character" w:styleId="CommentReference">
    <w:name w:val="annotation reference"/>
    <w:basedOn w:val="DefaultParagraphFont"/>
    <w:uiPriority w:val="99"/>
    <w:semiHidden/>
    <w:unhideWhenUsed/>
    <w:rsid w:val="009E0024"/>
    <w:rPr>
      <w:sz w:val="18"/>
      <w:szCs w:val="18"/>
    </w:rPr>
  </w:style>
  <w:style w:type="paragraph" w:styleId="CommentText">
    <w:name w:val="annotation text"/>
    <w:basedOn w:val="Normal"/>
    <w:link w:val="CommentTextChar"/>
    <w:uiPriority w:val="99"/>
    <w:semiHidden/>
    <w:unhideWhenUsed/>
    <w:rsid w:val="009E0024"/>
  </w:style>
  <w:style w:type="character" w:customStyle="1" w:styleId="CommentTextChar">
    <w:name w:val="Comment Text Char"/>
    <w:basedOn w:val="DefaultParagraphFont"/>
    <w:link w:val="CommentText"/>
    <w:uiPriority w:val="99"/>
    <w:semiHidden/>
    <w:rsid w:val="009E0024"/>
  </w:style>
  <w:style w:type="paragraph" w:styleId="CommentSubject">
    <w:name w:val="annotation subject"/>
    <w:basedOn w:val="CommentText"/>
    <w:next w:val="CommentText"/>
    <w:link w:val="CommentSubjectChar"/>
    <w:uiPriority w:val="99"/>
    <w:semiHidden/>
    <w:unhideWhenUsed/>
    <w:rsid w:val="009E0024"/>
    <w:rPr>
      <w:b/>
      <w:bCs/>
      <w:sz w:val="20"/>
      <w:szCs w:val="20"/>
    </w:rPr>
  </w:style>
  <w:style w:type="character" w:customStyle="1" w:styleId="CommentSubjectChar">
    <w:name w:val="Comment Subject Char"/>
    <w:basedOn w:val="CommentTextChar"/>
    <w:link w:val="CommentSubject"/>
    <w:uiPriority w:val="99"/>
    <w:semiHidden/>
    <w:rsid w:val="009E00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7663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8</Pages>
  <Words>4708</Words>
  <Characters>26836</Characters>
  <Application>Microsoft Macintosh Word</Application>
  <DocSecurity>0</DocSecurity>
  <Lines>223</Lines>
  <Paragraphs>62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Marcus M. Dillon, Way Sung, Michael Lynch, Robert Sebra, and Vaughn S. Cooper</vt:lpstr>
      <vt:lpstr>Supplemental Information </vt:lpstr>
    </vt:vector>
  </TitlesOfParts>
  <Company>UNH</Company>
  <LinksUpToDate>false</LinksUpToDate>
  <CharactersWithSpaces>31482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cp:lastPrinted>2016-04-06T21:30:00Z</cp:lastPrinted>
  <dcterms:created xsi:type="dcterms:W3CDTF">2016-01-18T16:12:00Z</dcterms:created>
  <dcterms:modified xsi:type="dcterms:W3CDTF">2016-07-12T20:06:00Z</dcterms:modified>
</cp:coreProperties>
</file>