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10F35" w14:textId="7C757531" w:rsidR="0087757B" w:rsidRPr="00BF3C5D" w:rsidRDefault="0087757B" w:rsidP="00BF3C5D">
      <w:pPr>
        <w:spacing w:before="120" w:after="120" w:line="360" w:lineRule="auto"/>
        <w:ind w:left="708" w:hanging="708"/>
        <w:jc w:val="center"/>
        <w:rPr>
          <w:rFonts w:ascii="Times New Roman" w:hAnsi="Times New Roman" w:cs="Times New Roman"/>
          <w:b/>
          <w:sz w:val="24"/>
          <w:szCs w:val="24"/>
          <w:lang w:val="en-US"/>
        </w:rPr>
      </w:pPr>
      <w:r w:rsidRPr="00BF3C5D">
        <w:rPr>
          <w:rFonts w:ascii="Times New Roman" w:hAnsi="Times New Roman" w:cs="Times New Roman"/>
          <w:b/>
          <w:sz w:val="24"/>
          <w:szCs w:val="24"/>
          <w:lang w:val="en-US"/>
        </w:rPr>
        <w:t>PRECLINICAL ASSESSMENT OF A CANNABINOID CB</w:t>
      </w:r>
      <w:r w:rsidRPr="00BF3C5D">
        <w:rPr>
          <w:rFonts w:ascii="Times New Roman" w:hAnsi="Times New Roman" w:cs="Times New Roman"/>
          <w:b/>
          <w:sz w:val="24"/>
          <w:szCs w:val="24"/>
          <w:vertAlign w:val="subscript"/>
          <w:lang w:val="en-US"/>
        </w:rPr>
        <w:t>2</w:t>
      </w:r>
      <w:r w:rsidRPr="00BF3C5D">
        <w:rPr>
          <w:rFonts w:ascii="Times New Roman" w:hAnsi="Times New Roman" w:cs="Times New Roman"/>
          <w:b/>
          <w:sz w:val="24"/>
          <w:szCs w:val="24"/>
          <w:lang w:val="en-US"/>
        </w:rPr>
        <w:t xml:space="preserve"> RECEPTOR ANTAGONIST IN A MURINE MODEL OF CEREBRAL MALARIA</w:t>
      </w:r>
    </w:p>
    <w:p w14:paraId="411DCB71" w14:textId="77777777" w:rsidR="0087757B" w:rsidRPr="00BF3C5D" w:rsidRDefault="0087757B" w:rsidP="00BF3C5D">
      <w:pPr>
        <w:spacing w:before="120" w:after="120" w:line="360" w:lineRule="auto"/>
        <w:jc w:val="center"/>
        <w:rPr>
          <w:rFonts w:ascii="Times New Roman" w:hAnsi="Times New Roman" w:cs="Times New Roman"/>
          <w:b/>
          <w:sz w:val="24"/>
          <w:szCs w:val="24"/>
          <w:lang w:val="en-US"/>
        </w:rPr>
      </w:pPr>
    </w:p>
    <w:p w14:paraId="2F1118DB" w14:textId="77777777" w:rsidR="0087757B" w:rsidRPr="00BF3C5D" w:rsidRDefault="0087757B" w:rsidP="00BF3C5D">
      <w:pPr>
        <w:pStyle w:val="Heading1"/>
        <w:rPr>
          <w:lang w:val="en-US"/>
        </w:rPr>
      </w:pPr>
      <w:r w:rsidRPr="00BF3C5D">
        <w:rPr>
          <w:lang w:val="en-US"/>
        </w:rPr>
        <w:t>KEYWORDS</w:t>
      </w:r>
    </w:p>
    <w:p w14:paraId="3A6A720F" w14:textId="4D48BF68" w:rsidR="0087757B" w:rsidRPr="00BF3C5D" w:rsidRDefault="0087757B" w:rsidP="00BF3C5D">
      <w:pPr>
        <w:tabs>
          <w:tab w:val="left" w:pos="2135"/>
        </w:tabs>
        <w:spacing w:before="120" w:after="120" w:line="360" w:lineRule="auto"/>
        <w:jc w:val="both"/>
        <w:rPr>
          <w:rFonts w:ascii="Times New Roman" w:hAnsi="Times New Roman" w:cs="Times New Roman"/>
          <w:sz w:val="24"/>
          <w:szCs w:val="24"/>
          <w:lang w:val="en-US"/>
        </w:rPr>
      </w:pPr>
      <w:r w:rsidRPr="00BF3C5D">
        <w:rPr>
          <w:rFonts w:ascii="Times New Roman" w:hAnsi="Times New Roman" w:cs="Times New Roman"/>
          <w:sz w:val="24"/>
          <w:szCs w:val="24"/>
          <w:lang w:val="en-US"/>
        </w:rPr>
        <w:t>Cerebral Malaria, CB</w:t>
      </w:r>
      <w:r w:rsidRPr="00BF3C5D">
        <w:rPr>
          <w:rFonts w:ascii="Times New Roman" w:hAnsi="Times New Roman" w:cs="Times New Roman"/>
          <w:sz w:val="24"/>
          <w:szCs w:val="24"/>
          <w:vertAlign w:val="subscript"/>
          <w:lang w:val="en-US"/>
        </w:rPr>
        <w:t xml:space="preserve">2 </w:t>
      </w:r>
      <w:r w:rsidRPr="00BF3C5D">
        <w:rPr>
          <w:rFonts w:ascii="Times New Roman" w:hAnsi="Times New Roman" w:cs="Times New Roman"/>
          <w:sz w:val="24"/>
          <w:szCs w:val="24"/>
          <w:lang w:val="en-US"/>
        </w:rPr>
        <w:t xml:space="preserve">receptor, antimalarial, antagonist, pharmacodynamics  </w:t>
      </w:r>
    </w:p>
    <w:p w14:paraId="20A67D4C" w14:textId="77777777" w:rsidR="0087757B" w:rsidRPr="00BF3C5D" w:rsidRDefault="0087757B" w:rsidP="00BF3C5D">
      <w:pPr>
        <w:pStyle w:val="Heading1"/>
        <w:rPr>
          <w:lang w:val="en-US"/>
        </w:rPr>
      </w:pPr>
      <w:r w:rsidRPr="00BF3C5D">
        <w:rPr>
          <w:lang w:val="en-US"/>
        </w:rPr>
        <w:t>TAKE HOME MESSAGE</w:t>
      </w:r>
    </w:p>
    <w:p w14:paraId="57B42CB9" w14:textId="3CEBE83D" w:rsidR="0087757B" w:rsidRPr="00BF3C5D" w:rsidRDefault="0087757B" w:rsidP="00BF3C5D">
      <w:pPr>
        <w:tabs>
          <w:tab w:val="left" w:pos="2135"/>
        </w:tabs>
        <w:spacing w:before="120" w:after="120" w:line="360" w:lineRule="auto"/>
        <w:jc w:val="both"/>
        <w:rPr>
          <w:rFonts w:ascii="Times New Roman" w:hAnsi="Times New Roman" w:cs="Times New Roman"/>
          <w:sz w:val="24"/>
          <w:szCs w:val="24"/>
          <w:lang w:val="en-US"/>
        </w:rPr>
      </w:pPr>
      <w:r w:rsidRPr="00BF3C5D">
        <w:rPr>
          <w:rFonts w:ascii="Times New Roman" w:hAnsi="Times New Roman" w:cs="Times New Roman"/>
          <w:sz w:val="24"/>
          <w:szCs w:val="24"/>
          <w:lang w:val="en-US"/>
        </w:rPr>
        <w:t>Studies have shown that the inactivation of the cannabinoid type-2 receptor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could have therapeutic value against cerebral malaria (CM). We investigated this potential </w:t>
      </w:r>
      <w:r w:rsidRPr="008D1177">
        <w:rPr>
          <w:rFonts w:ascii="Times New Roman" w:hAnsi="Times New Roman" w:cs="Times New Roman"/>
          <w:sz w:val="24"/>
          <w:szCs w:val="24"/>
          <w:lang w:val="en-US"/>
        </w:rPr>
        <w:t>in vivo</w:t>
      </w:r>
      <w:r w:rsidRPr="00BF3C5D">
        <w:rPr>
          <w:rFonts w:ascii="Times New Roman" w:hAnsi="Times New Roman" w:cs="Times New Roman"/>
          <w:i/>
          <w:iCs/>
          <w:sz w:val="24"/>
          <w:szCs w:val="24"/>
          <w:lang w:val="en-US"/>
        </w:rPr>
        <w:t xml:space="preserve"> </w:t>
      </w:r>
      <w:r w:rsidRPr="00BF3C5D">
        <w:rPr>
          <w:rFonts w:ascii="Times New Roman" w:hAnsi="Times New Roman" w:cs="Times New Roman"/>
          <w:sz w:val="24"/>
          <w:szCs w:val="24"/>
          <w:lang w:val="en-US"/>
        </w:rPr>
        <w:t>with SR144528, a selective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antagonist. </w:t>
      </w:r>
      <w:r w:rsidR="00BF3C5D">
        <w:rPr>
          <w:rFonts w:ascii="Times New Roman" w:hAnsi="Times New Roman" w:cs="Times New Roman"/>
          <w:sz w:val="24"/>
          <w:szCs w:val="24"/>
          <w:lang w:val="en-US"/>
        </w:rPr>
        <w:t>Although</w:t>
      </w:r>
      <w:r w:rsidR="00BF3C5D" w:rsidRPr="00BF3C5D">
        <w:rPr>
          <w:rFonts w:ascii="Times New Roman" w:hAnsi="Times New Roman" w:cs="Times New Roman"/>
          <w:sz w:val="24"/>
          <w:szCs w:val="24"/>
          <w:lang w:val="en-US"/>
        </w:rPr>
        <w:t xml:space="preserve"> </w:t>
      </w:r>
      <w:r w:rsidRPr="00BF3C5D">
        <w:rPr>
          <w:rFonts w:ascii="Times New Roman" w:hAnsi="Times New Roman" w:cs="Times New Roman"/>
          <w:sz w:val="24"/>
          <w:szCs w:val="24"/>
          <w:lang w:val="en-US"/>
        </w:rPr>
        <w:t>further studies would be necessary, our results suggest that SR144528 could be used as an adjuvant therapy.</w:t>
      </w:r>
    </w:p>
    <w:p w14:paraId="36248BD3" w14:textId="77777777" w:rsidR="0087757B" w:rsidRPr="00BF3C5D" w:rsidRDefault="0087757B" w:rsidP="00BF3C5D">
      <w:pPr>
        <w:pStyle w:val="Heading1"/>
        <w:rPr>
          <w:rFonts w:eastAsiaTheme="minorHAnsi"/>
          <w:lang w:val="en-US" w:bidi="ar-SA"/>
        </w:rPr>
      </w:pPr>
      <w:r w:rsidRPr="00BF3C5D">
        <w:rPr>
          <w:rFonts w:eastAsiaTheme="minorHAnsi"/>
          <w:lang w:val="en-US" w:bidi="ar-SA"/>
        </w:rPr>
        <w:t>ABSTRACT</w:t>
      </w:r>
      <w:bookmarkStart w:id="0" w:name="_Hlk33781115"/>
    </w:p>
    <w:p w14:paraId="4644EFFF" w14:textId="11752DD5" w:rsidR="0087757B" w:rsidRPr="00BF3C5D" w:rsidRDefault="0087757B" w:rsidP="00BF3C5D">
      <w:pPr>
        <w:spacing w:before="120" w:after="120" w:line="360" w:lineRule="auto"/>
        <w:jc w:val="both"/>
        <w:rPr>
          <w:rFonts w:ascii="Times New Roman" w:hAnsi="Times New Roman" w:cs="Times New Roman"/>
          <w:sz w:val="24"/>
          <w:szCs w:val="24"/>
          <w:lang w:val="en-US"/>
        </w:rPr>
      </w:pPr>
      <w:commentRangeStart w:id="1"/>
      <w:r w:rsidRPr="00BF3C5D">
        <w:rPr>
          <w:rFonts w:ascii="Times New Roman" w:hAnsi="Times New Roman" w:cs="Times New Roman"/>
          <w:sz w:val="24"/>
          <w:szCs w:val="24"/>
          <w:lang w:val="en-US"/>
        </w:rPr>
        <w:t xml:space="preserve">Malaria is </w:t>
      </w:r>
      <w:r w:rsidR="00465DE5">
        <w:rPr>
          <w:rFonts w:ascii="Times New Roman" w:hAnsi="Times New Roman" w:cs="Times New Roman"/>
          <w:sz w:val="24"/>
          <w:szCs w:val="24"/>
          <w:lang w:val="en-US"/>
        </w:rPr>
        <w:t xml:space="preserve">the </w:t>
      </w:r>
      <w:r w:rsidRPr="00BF3C5D">
        <w:rPr>
          <w:rFonts w:ascii="Times New Roman" w:hAnsi="Times New Roman" w:cs="Times New Roman"/>
          <w:sz w:val="24"/>
          <w:szCs w:val="24"/>
          <w:lang w:val="en-US"/>
        </w:rPr>
        <w:t>most important parasitic disease due to its highest impact worldwide</w:t>
      </w:r>
      <w:commentRangeEnd w:id="1"/>
      <w:r w:rsidR="001F231D">
        <w:rPr>
          <w:rStyle w:val="CommentReference"/>
        </w:rPr>
        <w:commentReference w:id="1"/>
      </w:r>
      <w:r w:rsidRPr="00BF3C5D">
        <w:rPr>
          <w:rFonts w:ascii="Times New Roman" w:hAnsi="Times New Roman" w:cs="Times New Roman"/>
          <w:sz w:val="24"/>
          <w:szCs w:val="24"/>
          <w:lang w:val="en-US"/>
        </w:rPr>
        <w:t xml:space="preserve">. It results in around 200 million clinical cases and 0,5-1 million deaths per year, mainly due to </w:t>
      </w:r>
      <w:r w:rsidR="001F231D">
        <w:rPr>
          <w:rFonts w:ascii="Times New Roman" w:hAnsi="Times New Roman" w:cs="Times New Roman"/>
          <w:sz w:val="24"/>
          <w:szCs w:val="24"/>
          <w:lang w:val="en-US"/>
        </w:rPr>
        <w:t>cerebral malaria (CM)</w:t>
      </w:r>
      <w:r w:rsidRPr="00BF3C5D">
        <w:rPr>
          <w:rFonts w:ascii="Times New Roman" w:hAnsi="Times New Roman" w:cs="Times New Roman"/>
          <w:sz w:val="24"/>
          <w:szCs w:val="24"/>
          <w:lang w:val="en-US"/>
        </w:rPr>
        <w:t xml:space="preserve">, a life-threatening neurological syndrome that </w:t>
      </w:r>
      <w:r w:rsidR="001F231D">
        <w:rPr>
          <w:rFonts w:ascii="Times New Roman" w:hAnsi="Times New Roman" w:cs="Times New Roman"/>
          <w:sz w:val="24"/>
          <w:szCs w:val="24"/>
          <w:lang w:val="en-US"/>
        </w:rPr>
        <w:t xml:space="preserve">predominantly </w:t>
      </w:r>
      <w:r w:rsidRPr="00BF3C5D">
        <w:rPr>
          <w:rFonts w:ascii="Times New Roman" w:hAnsi="Times New Roman" w:cs="Times New Roman"/>
          <w:sz w:val="24"/>
          <w:szCs w:val="24"/>
          <w:lang w:val="en-US"/>
        </w:rPr>
        <w:t>affects children under</w:t>
      </w:r>
      <w:r w:rsidR="001F231D">
        <w:rPr>
          <w:rFonts w:ascii="Times New Roman" w:hAnsi="Times New Roman" w:cs="Times New Roman"/>
          <w:sz w:val="24"/>
          <w:szCs w:val="24"/>
          <w:lang w:val="en-US"/>
        </w:rPr>
        <w:t xml:space="preserve"> </w:t>
      </w:r>
      <w:r w:rsidRPr="00BF3C5D">
        <w:rPr>
          <w:rFonts w:ascii="Times New Roman" w:hAnsi="Times New Roman" w:cs="Times New Roman"/>
          <w:sz w:val="24"/>
          <w:szCs w:val="24"/>
          <w:lang w:val="en-US"/>
        </w:rPr>
        <w:t>five</w:t>
      </w:r>
      <w:r w:rsidR="001F231D">
        <w:rPr>
          <w:rFonts w:ascii="Times New Roman" w:hAnsi="Times New Roman" w:cs="Times New Roman"/>
          <w:sz w:val="24"/>
          <w:szCs w:val="24"/>
          <w:lang w:val="en-US"/>
        </w:rPr>
        <w:t xml:space="preserve"> years old</w:t>
      </w:r>
      <w:r w:rsidRPr="00BF3C5D">
        <w:rPr>
          <w:rFonts w:ascii="Times New Roman" w:hAnsi="Times New Roman" w:cs="Times New Roman"/>
          <w:sz w:val="24"/>
          <w:szCs w:val="24"/>
          <w:lang w:val="en-US"/>
        </w:rPr>
        <w:t xml:space="preserve">. CM follows neurological alterations leading to the death if left untreated, and even when </w:t>
      </w:r>
      <w:r w:rsidR="00BC4402">
        <w:rPr>
          <w:rFonts w:ascii="Times New Roman" w:hAnsi="Times New Roman" w:cs="Times New Roman"/>
          <w:sz w:val="24"/>
          <w:szCs w:val="24"/>
          <w:lang w:val="en-US"/>
        </w:rPr>
        <w:t xml:space="preserve">it is </w:t>
      </w:r>
      <w:r w:rsidRPr="00BF3C5D">
        <w:rPr>
          <w:rFonts w:ascii="Times New Roman" w:hAnsi="Times New Roman" w:cs="Times New Roman"/>
          <w:sz w:val="24"/>
          <w:szCs w:val="24"/>
          <w:lang w:val="en-US"/>
        </w:rPr>
        <w:t xml:space="preserve">treated, it is fatal in 15-20% of cases. </w:t>
      </w:r>
      <w:r w:rsidR="00BC4402">
        <w:rPr>
          <w:rFonts w:ascii="Times New Roman" w:hAnsi="Times New Roman" w:cs="Times New Roman"/>
          <w:sz w:val="24"/>
          <w:szCs w:val="24"/>
          <w:lang w:val="en-US"/>
        </w:rPr>
        <w:t>Moreover</w:t>
      </w:r>
      <w:r w:rsidRPr="00BF3C5D">
        <w:rPr>
          <w:rFonts w:ascii="Times New Roman" w:hAnsi="Times New Roman" w:cs="Times New Roman"/>
          <w:sz w:val="24"/>
          <w:szCs w:val="24"/>
          <w:lang w:val="en-US"/>
        </w:rPr>
        <w:t xml:space="preserve">, among the survivors, more than 10% of the children develop neurological sequelae. Consequently, there is an urgent need to find therapies to attenuate these neurological signs. Recent evidence has proposed the endocannabinoid system, which plays an important </w:t>
      </w:r>
      <w:proofErr w:type="spellStart"/>
      <w:r w:rsidRPr="00BF3C5D">
        <w:rPr>
          <w:rFonts w:ascii="Times New Roman" w:hAnsi="Times New Roman" w:cs="Times New Roman"/>
          <w:sz w:val="24"/>
          <w:szCs w:val="24"/>
          <w:lang w:val="en-US"/>
        </w:rPr>
        <w:t>neuromodulatory</w:t>
      </w:r>
      <w:proofErr w:type="spellEnd"/>
      <w:r w:rsidRPr="00BF3C5D">
        <w:rPr>
          <w:rFonts w:ascii="Times New Roman" w:hAnsi="Times New Roman" w:cs="Times New Roman"/>
          <w:sz w:val="24"/>
          <w:szCs w:val="24"/>
          <w:lang w:val="en-US"/>
        </w:rPr>
        <w:t xml:space="preserve"> function in the central nervous system (CNS),</w:t>
      </w:r>
      <w:r w:rsidR="00BC4402">
        <w:rPr>
          <w:rFonts w:ascii="Times New Roman" w:hAnsi="Times New Roman" w:cs="Times New Roman"/>
          <w:sz w:val="24"/>
          <w:szCs w:val="24"/>
          <w:lang w:val="en-US"/>
        </w:rPr>
        <w:t xml:space="preserve"> also</w:t>
      </w:r>
      <w:r w:rsidRPr="00BF3C5D">
        <w:rPr>
          <w:rFonts w:ascii="Times New Roman" w:hAnsi="Times New Roman" w:cs="Times New Roman"/>
          <w:sz w:val="24"/>
          <w:szCs w:val="24"/>
          <w:lang w:val="en-US"/>
        </w:rPr>
        <w:t xml:space="preserve"> including immunomodulation preferentially exerted by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 Previous studies have shown that the genetic ablation of this receptor improved mice survival against CM, suggesting a potential for the pharmacological treatment of CM with selective antagonists of this receptor. Considering this background, we investigated CM therapy by a classic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antagonist SR144528 in a murine model of the disease. First, we carried out binding studies with SR144528 to confirm its pharmacodynamic profile (binding affinity [Ki] value = 2.34 ± 0.61 </w:t>
      </w:r>
      <w:proofErr w:type="gramStart"/>
      <w:r w:rsidRPr="008D1177">
        <w:rPr>
          <w:rFonts w:ascii="Times New Roman" w:hAnsi="Times New Roman" w:cs="Times New Roman"/>
          <w:i/>
          <w:iCs/>
          <w:sz w:val="24"/>
          <w:szCs w:val="24"/>
          <w:lang w:val="en-US"/>
        </w:rPr>
        <w:t>nM</w:t>
      </w:r>
      <w:r w:rsidRPr="00BF3C5D">
        <w:rPr>
          <w:rFonts w:ascii="Times New Roman" w:hAnsi="Times New Roman" w:cs="Times New Roman"/>
          <w:sz w:val="24"/>
          <w:szCs w:val="24"/>
          <w:lang w:val="en-US"/>
        </w:rPr>
        <w:t>;</w:t>
      </w:r>
      <w:proofErr w:type="gramEnd"/>
      <w:r w:rsidRPr="00BF3C5D">
        <w:rPr>
          <w:rFonts w:ascii="Times New Roman" w:hAnsi="Times New Roman" w:cs="Times New Roman"/>
          <w:sz w:val="24"/>
          <w:szCs w:val="24"/>
          <w:lang w:val="en-US"/>
        </w:rPr>
        <w:t xml:space="preserve"> and efficacy [IC</w:t>
      </w:r>
      <w:r w:rsidRPr="00BF3C5D">
        <w:rPr>
          <w:rFonts w:ascii="Times New Roman" w:hAnsi="Times New Roman" w:cs="Times New Roman"/>
          <w:sz w:val="24"/>
          <w:szCs w:val="24"/>
          <w:vertAlign w:val="subscript"/>
          <w:lang w:val="en-US"/>
        </w:rPr>
        <w:t>50</w:t>
      </w:r>
      <w:r w:rsidRPr="00BF3C5D">
        <w:rPr>
          <w:rFonts w:ascii="Times New Roman" w:hAnsi="Times New Roman" w:cs="Times New Roman"/>
          <w:sz w:val="24"/>
          <w:szCs w:val="24"/>
          <w:lang w:val="en-US"/>
        </w:rPr>
        <w:t xml:space="preserve">] = 96.17 ± 1.41 </w:t>
      </w:r>
      <w:r w:rsidRPr="008D1177">
        <w:rPr>
          <w:rFonts w:ascii="Times New Roman" w:hAnsi="Times New Roman" w:cs="Times New Roman"/>
          <w:i/>
          <w:iCs/>
          <w:sz w:val="24"/>
          <w:szCs w:val="24"/>
          <w:lang w:val="en-US"/>
        </w:rPr>
        <w:t>nM</w:t>
      </w:r>
      <w:r w:rsidRPr="00BF3C5D">
        <w:rPr>
          <w:rFonts w:ascii="Times New Roman" w:hAnsi="Times New Roman" w:cs="Times New Roman"/>
          <w:sz w:val="24"/>
          <w:szCs w:val="24"/>
          <w:lang w:val="en-US"/>
        </w:rPr>
        <w:t>, at the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 Second, </w:t>
      </w:r>
      <w:r w:rsidRPr="00BF3C5D">
        <w:rPr>
          <w:rFonts w:ascii="Times New Roman" w:hAnsi="Times New Roman" w:cs="Times New Roman"/>
          <w:i/>
          <w:sz w:val="24"/>
          <w:szCs w:val="24"/>
          <w:lang w:val="en-US"/>
        </w:rPr>
        <w:t>P. berghei</w:t>
      </w:r>
      <w:r w:rsidRPr="00BF3C5D">
        <w:rPr>
          <w:rFonts w:ascii="Times New Roman" w:hAnsi="Times New Roman" w:cs="Times New Roman"/>
          <w:sz w:val="24"/>
          <w:szCs w:val="24"/>
          <w:lang w:val="en-US"/>
        </w:rPr>
        <w:t xml:space="preserve"> ANKA infected C57BL/6 mice were treated daily with SR144528 and assessed for parasitemia growth and neurological alterations. 30% of the treated mice showed partial recovery of CM symptoms with 20% increased survival, but finally succumbing to hyperparasitemia and severe anemia. These preliminary preclinical results </w:t>
      </w:r>
      <w:r w:rsidRPr="00BF3C5D">
        <w:rPr>
          <w:rFonts w:ascii="Times New Roman" w:hAnsi="Times New Roman" w:cs="Times New Roman"/>
          <w:sz w:val="24"/>
          <w:szCs w:val="24"/>
          <w:lang w:val="en-US"/>
        </w:rPr>
        <w:lastRenderedPageBreak/>
        <w:t>suggest that, although part of the CM course might be modulated by the pharmacological blockade of the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 other elements trigger the lethal outcome. Thus, while our hypothesis could not be completely validated in this CM model, we detail here all obtained results for further research.</w:t>
      </w:r>
      <w:bookmarkEnd w:id="0"/>
    </w:p>
    <w:p w14:paraId="5DB7EE1D" w14:textId="77777777" w:rsidR="0087757B" w:rsidRPr="00BF3C5D" w:rsidRDefault="0087757B" w:rsidP="00BF3C5D">
      <w:pPr>
        <w:pStyle w:val="Heading1"/>
        <w:rPr>
          <w:lang w:val="en-US"/>
        </w:rPr>
      </w:pPr>
      <w:r w:rsidRPr="00BF3C5D">
        <w:rPr>
          <w:lang w:val="en-US"/>
        </w:rPr>
        <w:t>PURPOSE SECTION</w:t>
      </w:r>
    </w:p>
    <w:p w14:paraId="733BF622" w14:textId="5A1C9848" w:rsidR="0087757B" w:rsidRPr="00BF3C5D" w:rsidRDefault="0087757B" w:rsidP="00771671">
      <w:pPr>
        <w:spacing w:before="120" w:after="120" w:line="360" w:lineRule="auto"/>
        <w:ind w:firstLine="708"/>
        <w:jc w:val="both"/>
        <w:rPr>
          <w:rFonts w:ascii="Times New Roman" w:hAnsi="Times New Roman" w:cs="Times New Roman"/>
          <w:sz w:val="24"/>
          <w:szCs w:val="24"/>
          <w:lang w:val="en-US"/>
        </w:rPr>
      </w:pPr>
      <w:r w:rsidRPr="00BF3C5D">
        <w:rPr>
          <w:rFonts w:ascii="Times New Roman" w:hAnsi="Times New Roman" w:cs="Times New Roman"/>
          <w:sz w:val="24"/>
          <w:szCs w:val="24"/>
          <w:lang w:val="en-US"/>
        </w:rPr>
        <w:t>Nowadays, the mainstay of the treatment of severe cerebral malaria is the immediate onset of parenteral antimalarial treatment</w:t>
      </w:r>
      <w:r w:rsidR="00771671">
        <w:rPr>
          <w:rFonts w:ascii="Times New Roman" w:hAnsi="Times New Roman" w:cs="Times New Roman"/>
          <w:sz w:val="24"/>
          <w:szCs w:val="24"/>
          <w:lang w:val="en-US"/>
        </w:rPr>
        <w:t>. A</w:t>
      </w:r>
      <w:r w:rsidRPr="00BF3C5D">
        <w:rPr>
          <w:rFonts w:ascii="Times New Roman" w:hAnsi="Times New Roman" w:cs="Times New Roman"/>
          <w:sz w:val="24"/>
          <w:szCs w:val="24"/>
          <w:lang w:val="en-US"/>
        </w:rPr>
        <w:t xml:space="preserve">vailable drugs include quinolones, antifolates and </w:t>
      </w:r>
      <w:proofErr w:type="spellStart"/>
      <w:r w:rsidRPr="00BF3C5D">
        <w:rPr>
          <w:rFonts w:ascii="Times New Roman" w:hAnsi="Times New Roman" w:cs="Times New Roman"/>
          <w:sz w:val="24"/>
          <w:szCs w:val="24"/>
          <w:lang w:val="en-US"/>
        </w:rPr>
        <w:t>artemisin</w:t>
      </w:r>
      <w:proofErr w:type="spellEnd"/>
      <w:r w:rsidRPr="00BF3C5D">
        <w:rPr>
          <w:rFonts w:ascii="Times New Roman" w:hAnsi="Times New Roman" w:cs="Times New Roman"/>
          <w:sz w:val="24"/>
          <w:szCs w:val="24"/>
          <w:lang w:val="en-US"/>
        </w:rPr>
        <w:t>-combination therapies. However, despite the effectiveness of antimalarial drugs on treating most malaria related symptoms, their efficacy on promoting survival and preventing neurological damage, mainly in children, is contested. In this scenario, the combination of antimalarial drugs and CNS-acting compounds would be an interesting strategy for the improvement of the neurological outcome in CM patients. Previous studies have shown that the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 could be an important modulator of susceptibility in experimental cerebral malaria (ECM). Moreover, therapeutic application of a specific CB</w:t>
      </w:r>
      <w:r w:rsidRPr="00BF3C5D">
        <w:rPr>
          <w:rFonts w:ascii="Times New Roman" w:hAnsi="Times New Roman" w:cs="Times New Roman"/>
          <w:sz w:val="24"/>
          <w:szCs w:val="24"/>
          <w:vertAlign w:val="subscript"/>
          <w:lang w:val="en-US"/>
        </w:rPr>
        <w:t xml:space="preserve">2 </w:t>
      </w:r>
      <w:r w:rsidRPr="00BF3C5D">
        <w:rPr>
          <w:rFonts w:ascii="Times New Roman" w:hAnsi="Times New Roman" w:cs="Times New Roman"/>
          <w:sz w:val="24"/>
          <w:szCs w:val="24"/>
          <w:lang w:val="en-US"/>
        </w:rPr>
        <w:t>antagonist also seems to confer increased ECM resistance in wild type mice. Thus, targeting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and blocking its intracellular signaling might be promising for the development of alternative treatment regimens for CM. </w:t>
      </w:r>
    </w:p>
    <w:p w14:paraId="5E5E79D9" w14:textId="77777777" w:rsidR="0087757B" w:rsidRPr="00BF3C5D" w:rsidRDefault="0087757B" w:rsidP="00BF3C5D">
      <w:pPr>
        <w:pStyle w:val="Heading1"/>
        <w:rPr>
          <w:lang w:val="en-US"/>
        </w:rPr>
      </w:pPr>
      <w:r w:rsidRPr="00BF3C5D">
        <w:rPr>
          <w:lang w:val="en-US"/>
        </w:rPr>
        <w:t>INTRODUCTION</w:t>
      </w:r>
    </w:p>
    <w:p w14:paraId="697571A4" w14:textId="4485157E" w:rsidR="0087757B" w:rsidRPr="00BF3C5D" w:rsidRDefault="0087757B" w:rsidP="00BF3C5D">
      <w:pPr>
        <w:tabs>
          <w:tab w:val="left" w:pos="2135"/>
        </w:tabs>
        <w:spacing w:before="120" w:after="120" w:line="360" w:lineRule="auto"/>
        <w:jc w:val="both"/>
        <w:rPr>
          <w:rFonts w:ascii="Times New Roman" w:hAnsi="Times New Roman" w:cs="Times New Roman"/>
          <w:sz w:val="24"/>
          <w:szCs w:val="24"/>
          <w:lang w:val="en-US"/>
        </w:rPr>
      </w:pPr>
      <w:r w:rsidRPr="00BF3C5D">
        <w:rPr>
          <w:rFonts w:ascii="Times New Roman" w:hAnsi="Times New Roman" w:cs="Times New Roman"/>
          <w:sz w:val="24"/>
          <w:szCs w:val="24"/>
          <w:lang w:val="en-US"/>
        </w:rPr>
        <w:t>Malaria is a persistent major global health challenge, affecting more than one third of the world’s population. In fact, malaria is one of the three most important infectious diseases worldwide in its impact, particularly in terms of deleterious economic consequences morbidity and mortality, affecting particularly to young children under</w:t>
      </w:r>
      <w:r w:rsidR="0092232F">
        <w:rPr>
          <w:rFonts w:ascii="Times New Roman" w:hAnsi="Times New Roman" w:cs="Times New Roman"/>
          <w:sz w:val="24"/>
          <w:szCs w:val="24"/>
          <w:lang w:val="en-US"/>
        </w:rPr>
        <w:t xml:space="preserve"> </w:t>
      </w:r>
      <w:r w:rsidRPr="00BF3C5D">
        <w:rPr>
          <w:rFonts w:ascii="Times New Roman" w:hAnsi="Times New Roman" w:cs="Times New Roman"/>
          <w:sz w:val="24"/>
          <w:szCs w:val="24"/>
          <w:lang w:val="en-US"/>
        </w:rPr>
        <w:t xml:space="preserve">five </w:t>
      </w:r>
      <w:r w:rsidRPr="00BF3C5D">
        <w:rPr>
          <w:rFonts w:ascii="Times New Roman" w:hAnsi="Times New Roman" w:cs="Times New Roman"/>
          <w:sz w:val="24"/>
          <w:szCs w:val="24"/>
          <w:lang w:val="en-US"/>
        </w:rPr>
        <w:fldChar w:fldCharType="begin" w:fldLock="1"/>
      </w:r>
      <w:r w:rsidR="003F6C97" w:rsidRPr="00BF3C5D">
        <w:rPr>
          <w:rFonts w:ascii="Times New Roman" w:hAnsi="Times New Roman" w:cs="Times New Roman"/>
          <w:sz w:val="24"/>
          <w:szCs w:val="24"/>
          <w:lang w:val="en-US"/>
        </w:rPr>
        <w:instrText>ADDIN CSL_CITATION {"citationItems":[{"id":"ITEM-1","itemData":{"DOI":"10.1016/J.IJPARA.2006.02.016","ISSN":"0020-7519","abstract":"Malaria is one of the most important global health problems, potentially affecting more than one third of the world's population. Cerebral malaria (CM) is a deadly complication of Plasmodium falciparum infection, yet its pathogenesis remains incompletely understood. In this review, we discuss some of the principal pathogenic events that have been described in murine models of the disease and relate them to the human condition. One of the earliest events in CM pathogenesis appears to be a mild increase in the permeability to protein of the blood–brain barrier. Recent studies have shown a role for CD8+T cells in mediating damage to the microvascular endothelium and this damage can result in the leakage of cytokines, malaria antigens and other potentially harmful molecules across the blood–brain barrier into the cerebral parenchyma. We suggest that this, in turn, leads to the activation of microglia and the activation and apoptosis of astrocytes. The role of hypoxia in the pathogenesis of cerebral malaria is also discussed, with particular reference to the local reduction of oxygen consumption in the brain as a consequence of vascular obstruction, to cytokine-driven changes in glucose metabolism, and to cytopathic hypoxia. Interferon-γ, a cytokine known to be produced in malaria infection, induces increased expression, by microvascular endothelial cells, of the haem enzyme indoleamine 2,3-dioxygenase, the first enzyme in the kynurenine pathway of tryptophan metabolism. Enhanced indoleamine 2,3-dioxygenase expression leads to increased production of a range of biologically active metabolites that may be part of a tissue protective response. Damage to astrocytes may result in reduced production of the neuroprotectant molecule kynurenic acid, leading to a decrease in its ratio relative to the neuroexcitotoxic molecule quinolinic acid, which might contribute to some of the neurological symptoms of cerebral malaria. Lastly, we discuss the role of other haem enzymes, cyclooxygenase-2, inducible nitric oxide synthase and haem oxygenase-1, as potentially being components of mechanisms that protect host tissue against the effects of cytokine- and leukocyte-mediated stress induced by malaria infection.","author":[{"dropping-particle":"","family":"Hunt","given":"Nicholas H","non-dropping-particle":"","parse-names":false,"suffix":""},{"dropping-particle":"","family":"Golenser","given":"Jacob","non-dropping-particle":"","parse-names":false,"suffix":""},{"dropping-particle":"","family":"Chan-Ling","given":"Tailoi","non-dropping-particle":"","parse-names":false,"suffix":""},{"dropping-particle":"","family":"Parekh","given":"Sapan","non-dropping-particle":"","parse-names":false,"suffix":""},{"dropping-particle":"","family":"Rae","given":"Caroline","non-dropping-particle":"","parse-names":false,"suffix":""},{"dropping-particle":"","family":"Potter","given":"Sarah","non-dropping-particle":"","parse-names":false,"suffix":""},{"dropping-particle":"","family":"Medana","given":"Isabelle M","non-dropping-particle":"","parse-names":false,"suffix":""},{"dropping-particle":"","family":"Miu","given":"Jenny","non-dropping-particle":"","parse-names":false,"suffix":""},{"dropping-particle":"","family":"Ball","given":"Helen J","non-dropping-particle":"","parse-names":false,"suffix":""}],"container-title":"International Journal for Parasitology","id":"ITEM-1","issue":"5","issued":{"date-parts":[["2006"]]},"page":"569-582","publisher":"Pergamon","title":"Immunopathogenesis of cerebral malaria","type":"article-journal","volume":"36"},"uris":["http://www.mendeley.com/documents/?uuid=b333dbcc-5c26-308e-9df2-6ed8ffc0bb74"]}],"mendeley":{"formattedCitation":"(Hunt et al., 2006)","plainTextFormattedCitation":"(Hunt et al., 2006)","previouslyFormattedCitation":"(Hunt et al., 2006)"},"properties":{"noteIndex":0},"schema":"https://github.com/citation-style-language/schema/raw/master/csl-citation.json"}</w:instrText>
      </w:r>
      <w:r w:rsidRPr="00BF3C5D">
        <w:rPr>
          <w:rFonts w:ascii="Times New Roman" w:hAnsi="Times New Roman" w:cs="Times New Roman"/>
          <w:sz w:val="24"/>
          <w:szCs w:val="24"/>
          <w:lang w:val="en-US"/>
        </w:rPr>
        <w:fldChar w:fldCharType="separate"/>
      </w:r>
      <w:r w:rsidRPr="00BF3C5D">
        <w:rPr>
          <w:rFonts w:ascii="Times New Roman" w:hAnsi="Times New Roman" w:cs="Times New Roman"/>
          <w:noProof/>
          <w:sz w:val="24"/>
          <w:szCs w:val="24"/>
          <w:lang w:val="en-US"/>
        </w:rPr>
        <w:t>(Hunt et al., 2006)</w:t>
      </w:r>
      <w:r w:rsidRPr="00BF3C5D">
        <w:rPr>
          <w:rFonts w:ascii="Times New Roman" w:hAnsi="Times New Roman" w:cs="Times New Roman"/>
          <w:sz w:val="24"/>
          <w:szCs w:val="24"/>
          <w:lang w:val="en-US"/>
        </w:rPr>
        <w:fldChar w:fldCharType="end"/>
      </w:r>
      <w:r w:rsidRPr="00BF3C5D">
        <w:rPr>
          <w:rFonts w:ascii="Times New Roman" w:hAnsi="Times New Roman" w:cs="Times New Roman"/>
          <w:sz w:val="24"/>
          <w:szCs w:val="24"/>
          <w:lang w:val="en-US"/>
        </w:rPr>
        <w:t>.</w:t>
      </w:r>
    </w:p>
    <w:p w14:paraId="59958B6D" w14:textId="40964A2E" w:rsidR="0087757B" w:rsidRPr="00BF3C5D" w:rsidRDefault="0087757B" w:rsidP="00BF3C5D">
      <w:pPr>
        <w:tabs>
          <w:tab w:val="left" w:pos="2135"/>
        </w:tabs>
        <w:spacing w:before="120" w:after="120" w:line="360" w:lineRule="auto"/>
        <w:jc w:val="both"/>
        <w:rPr>
          <w:rFonts w:ascii="Times New Roman" w:hAnsi="Times New Roman" w:cs="Times New Roman"/>
          <w:color w:val="000000" w:themeColor="text1"/>
          <w:sz w:val="24"/>
          <w:szCs w:val="24"/>
          <w:lang w:val="en-US"/>
        </w:rPr>
      </w:pPr>
      <w:r w:rsidRPr="00BF3C5D">
        <w:rPr>
          <w:rFonts w:ascii="Times New Roman" w:hAnsi="Times New Roman" w:cs="Times New Roman"/>
          <w:sz w:val="24"/>
          <w:szCs w:val="24"/>
          <w:lang w:val="en-US"/>
        </w:rPr>
        <w:t xml:space="preserve">Malaria in humans is a mosquito-borne disease caused by infection with one of the following protozoan </w:t>
      </w:r>
      <w:r w:rsidRPr="00BF3C5D">
        <w:rPr>
          <w:rFonts w:ascii="Times New Roman" w:hAnsi="Times New Roman" w:cs="Times New Roman"/>
          <w:i/>
          <w:sz w:val="24"/>
          <w:szCs w:val="24"/>
          <w:lang w:val="en-US"/>
        </w:rPr>
        <w:t xml:space="preserve">Plasmodium parasite species: P. falciparum, P. vivax, P. malariae, P. ovale </w:t>
      </w:r>
      <w:r w:rsidRPr="008D1177">
        <w:rPr>
          <w:rFonts w:ascii="Times New Roman" w:hAnsi="Times New Roman" w:cs="Times New Roman"/>
          <w:iCs/>
          <w:sz w:val="24"/>
          <w:szCs w:val="24"/>
          <w:lang w:val="en-US"/>
        </w:rPr>
        <w:t>and</w:t>
      </w:r>
      <w:r w:rsidRPr="00BF3C5D">
        <w:rPr>
          <w:rFonts w:ascii="Times New Roman" w:hAnsi="Times New Roman" w:cs="Times New Roman"/>
          <w:i/>
          <w:sz w:val="24"/>
          <w:szCs w:val="24"/>
          <w:lang w:val="en-US"/>
        </w:rPr>
        <w:t xml:space="preserve"> P. knowlesi.</w:t>
      </w:r>
      <w:r w:rsidRPr="00BF3C5D">
        <w:rPr>
          <w:rFonts w:ascii="Times New Roman" w:hAnsi="Times New Roman" w:cs="Times New Roman"/>
          <w:sz w:val="24"/>
          <w:szCs w:val="24"/>
          <w:lang w:val="en-US"/>
        </w:rPr>
        <w:t xml:space="preserve"> The infection causes a wide variety of clinical symptoms, ranging in severity from asymptomatic or flu-like illness to life-threatening complications leading to death. In fact, clinical malaria disease can be classified as uncomplicated or severe </w:t>
      </w:r>
      <w:r w:rsidRPr="00BF3C5D">
        <w:rPr>
          <w:rFonts w:ascii="Times New Roman" w:hAnsi="Times New Roman" w:cs="Times New Roman"/>
          <w:sz w:val="24"/>
          <w:szCs w:val="24"/>
          <w:lang w:val="en-US"/>
        </w:rPr>
        <w:fldChar w:fldCharType="begin" w:fldLock="1"/>
      </w:r>
      <w:r w:rsidR="003F6C97" w:rsidRPr="00BF3C5D">
        <w:rPr>
          <w:rFonts w:ascii="Times New Roman" w:hAnsi="Times New Roman" w:cs="Times New Roman"/>
          <w:sz w:val="24"/>
          <w:szCs w:val="24"/>
          <w:lang w:val="en-US"/>
        </w:rPr>
        <w:instrText>ADDIN CSL_CITATION {"citationItems":[{"id":"ITEM-1","itemData":{"DOI":"10.4084/MJHID.2012.026","ISSN":"2035-3006","PMID":"22708041","abstract":"The first symptoms of malaria, common to all the different malaria species, are nonspecific and mimic a flu-like syndrome. Although fever represents the cardinal feature, clinical findings in malaria are extremely diverse and may range in severity from mild headache to serious complications leading to death, particularly in falciparum malaria. As the progression to these complications can be rapid, any malaria patient must be assessed and treated rapidly, and frequent observations are needed to look for early signs of systemic complications.In fact, severe malaria is a life threatening but treatable disease. The protean and nonspecific clinical findings occurring in malaria (fever, malaise, headache, myalgias, jaundice and sometimes gastrointestinal symptoms of nausea, vomiting and diarrhoea) may lead physicians who see malaria infrequently to a wrong diagnosis, such as influenza (particularly during the seasonal epidemic flu), dengue, gastroenteritis, typhoid fever, viral hepatitis, encephalitis. Physicians should be aware that malaria is not a clinical diagnosis but must be diagnosed, or excluded, by performing microscopic examination of blood films. Prompt diagnosis and appropriate treatment are then crucial to prevent morbidity and fatal outcomes. Although Plasmodium falciparum malaria is the major cause of severe malaria and death, increasing evidence has recently emerged that Plasmodium vivax and Plasmodium knowlesi can also be severe and even fatal.","author":[{"dropping-particle":"","family":"Bartoloni","given":"Alessandro","non-dropping-particle":"","parse-names":false,"suffix":""},{"dropping-particle":"","family":"Zammarchi","given":"Lorenzo","non-dropping-particle":"","parse-names":false,"suffix":""}],"container-title":"Mediterranean journal of hematology and infectious diseases","id":"ITEM-1","issue":"1","issued":{"date-parts":[["2012"]]},"page":"e2012026","publisher":"Catholic University in Rome","title":"Clinical aspects of uncomplicated and severe malaria.","type":"article-journal","volume":"4"},"uris":["http://www.mendeley.com/documents/?uuid=94cb0a1a-9375-3d22-864b-1c5a44e21d03"]}],"mendeley":{"formattedCitation":"(Bartoloni &amp; Zammarchi, 2012)","plainTextFormattedCitation":"(Bartoloni &amp; Zammarchi, 2012)","previouslyFormattedCitation":"(Bartoloni &amp; Zammarchi, 2012)"},"properties":{"noteIndex":0},"schema":"https://github.com/citation-style-language/schema/raw/master/csl-citation.json"}</w:instrText>
      </w:r>
      <w:r w:rsidRPr="00BF3C5D">
        <w:rPr>
          <w:rFonts w:ascii="Times New Roman" w:hAnsi="Times New Roman" w:cs="Times New Roman"/>
          <w:sz w:val="24"/>
          <w:szCs w:val="24"/>
          <w:lang w:val="en-US"/>
        </w:rPr>
        <w:fldChar w:fldCharType="separate"/>
      </w:r>
      <w:r w:rsidRPr="00BF3C5D">
        <w:rPr>
          <w:rFonts w:ascii="Times New Roman" w:hAnsi="Times New Roman" w:cs="Times New Roman"/>
          <w:noProof/>
          <w:sz w:val="24"/>
          <w:szCs w:val="24"/>
          <w:lang w:val="en-US"/>
        </w:rPr>
        <w:t>(Bartoloni &amp; Zammarchi, 2012)</w:t>
      </w:r>
      <w:r w:rsidRPr="00BF3C5D">
        <w:rPr>
          <w:rFonts w:ascii="Times New Roman" w:hAnsi="Times New Roman" w:cs="Times New Roman"/>
          <w:sz w:val="24"/>
          <w:szCs w:val="24"/>
          <w:lang w:val="en-US"/>
        </w:rPr>
        <w:fldChar w:fldCharType="end"/>
      </w:r>
      <w:r w:rsidRPr="00BF3C5D">
        <w:rPr>
          <w:rFonts w:ascii="Times New Roman" w:hAnsi="Times New Roman" w:cs="Times New Roman"/>
          <w:sz w:val="24"/>
          <w:szCs w:val="24"/>
          <w:lang w:val="en-US"/>
        </w:rPr>
        <w:t xml:space="preserve">. Uncomplicated malaria is mainly accompanied by fever with mild symptoms resolving spontaneously in 10 to 30 days without complications. On the other side, severe malaria, mostly caused by </w:t>
      </w:r>
      <w:r w:rsidRPr="00BF3C5D">
        <w:rPr>
          <w:rFonts w:ascii="Times New Roman" w:hAnsi="Times New Roman" w:cs="Times New Roman"/>
          <w:color w:val="000000" w:themeColor="text1"/>
          <w:sz w:val="24"/>
          <w:szCs w:val="24"/>
          <w:lang w:val="en-US"/>
        </w:rPr>
        <w:t xml:space="preserve">infection with </w:t>
      </w:r>
      <w:r w:rsidRPr="00BF3C5D">
        <w:rPr>
          <w:rFonts w:ascii="Times New Roman" w:hAnsi="Times New Roman" w:cs="Times New Roman"/>
          <w:i/>
          <w:color w:val="000000" w:themeColor="text1"/>
          <w:sz w:val="24"/>
          <w:szCs w:val="24"/>
          <w:lang w:val="en-US"/>
        </w:rPr>
        <w:t>P. falciparum</w:t>
      </w:r>
      <w:r w:rsidRPr="00BF3C5D">
        <w:rPr>
          <w:rFonts w:ascii="Times New Roman" w:hAnsi="Times New Roman" w:cs="Times New Roman"/>
          <w:sz w:val="24"/>
          <w:szCs w:val="24"/>
          <w:lang w:val="en-US"/>
        </w:rPr>
        <w:t xml:space="preserve">, </w:t>
      </w:r>
      <w:r w:rsidRPr="00BF3C5D">
        <w:rPr>
          <w:rFonts w:ascii="Times New Roman" w:hAnsi="Times New Roman" w:cs="Times New Roman"/>
          <w:color w:val="000000" w:themeColor="text1"/>
          <w:sz w:val="24"/>
          <w:szCs w:val="24"/>
          <w:lang w:val="en-US"/>
        </w:rPr>
        <w:t xml:space="preserve">is a potentially fatal disease with a quick progression in which most patients </w:t>
      </w:r>
      <w:r w:rsidRPr="00BF3C5D">
        <w:rPr>
          <w:rFonts w:ascii="Times New Roman" w:hAnsi="Times New Roman" w:cs="Times New Roman"/>
          <w:color w:val="000000" w:themeColor="text1"/>
          <w:sz w:val="24"/>
          <w:szCs w:val="24"/>
          <w:lang w:val="en-US"/>
        </w:rPr>
        <w:lastRenderedPageBreak/>
        <w:t>(mainly children, pregnant women</w:t>
      </w:r>
      <w:r w:rsidR="0092232F">
        <w:rPr>
          <w:rFonts w:ascii="Times New Roman" w:hAnsi="Times New Roman" w:cs="Times New Roman"/>
          <w:color w:val="000000" w:themeColor="text1"/>
          <w:sz w:val="24"/>
          <w:szCs w:val="24"/>
          <w:lang w:val="en-US"/>
        </w:rPr>
        <w:t>,</w:t>
      </w:r>
      <w:r w:rsidRPr="00BF3C5D">
        <w:rPr>
          <w:rFonts w:ascii="Times New Roman" w:hAnsi="Times New Roman" w:cs="Times New Roman"/>
          <w:color w:val="000000" w:themeColor="text1"/>
          <w:sz w:val="24"/>
          <w:szCs w:val="24"/>
          <w:lang w:val="en-US"/>
        </w:rPr>
        <w:t xml:space="preserve"> and the elderly) need to be assessed and treated quickly. Clinical presentations of severe malaria vary, but include altered consciousness, respiratory distress, acidosis, severe anemia, multi-organ failure</w:t>
      </w:r>
      <w:r w:rsidR="0092232F">
        <w:rPr>
          <w:rFonts w:ascii="Times New Roman" w:hAnsi="Times New Roman" w:cs="Times New Roman"/>
          <w:color w:val="000000" w:themeColor="text1"/>
          <w:sz w:val="24"/>
          <w:szCs w:val="24"/>
          <w:lang w:val="en-US"/>
        </w:rPr>
        <w:t>,</w:t>
      </w:r>
      <w:r w:rsidRPr="00BF3C5D">
        <w:rPr>
          <w:rFonts w:ascii="Times New Roman" w:hAnsi="Times New Roman" w:cs="Times New Roman"/>
          <w:color w:val="000000" w:themeColor="text1"/>
          <w:sz w:val="24"/>
          <w:szCs w:val="24"/>
          <w:lang w:val="en-US"/>
        </w:rPr>
        <w:t xml:space="preserve"> and CM including coma. Particularly, the latter is considered one of the most life-threatening complications. </w:t>
      </w:r>
    </w:p>
    <w:p w14:paraId="5912AF2F" w14:textId="1961FD95" w:rsidR="0087757B" w:rsidRPr="00BF3C5D" w:rsidRDefault="0087757B" w:rsidP="00BF3C5D">
      <w:pPr>
        <w:tabs>
          <w:tab w:val="left" w:pos="2135"/>
        </w:tabs>
        <w:spacing w:before="120" w:after="120" w:line="360" w:lineRule="auto"/>
        <w:jc w:val="both"/>
        <w:rPr>
          <w:rFonts w:ascii="Times New Roman" w:hAnsi="Times New Roman" w:cs="Times New Roman"/>
          <w:sz w:val="24"/>
          <w:szCs w:val="24"/>
          <w:lang w:val="en-US"/>
        </w:rPr>
      </w:pPr>
      <w:r w:rsidRPr="00BF3C5D">
        <w:rPr>
          <w:rFonts w:ascii="Times New Roman" w:hAnsi="Times New Roman" w:cs="Times New Roman"/>
          <w:color w:val="000000" w:themeColor="text1"/>
          <w:sz w:val="24"/>
          <w:szCs w:val="24"/>
          <w:lang w:val="en-US"/>
        </w:rPr>
        <w:t xml:space="preserve">CM </w:t>
      </w:r>
      <w:r w:rsidRPr="00BF3C5D">
        <w:rPr>
          <w:rFonts w:ascii="Times New Roman" w:hAnsi="Times New Roman" w:cs="Times New Roman"/>
          <w:sz w:val="24"/>
          <w:szCs w:val="24"/>
          <w:lang w:val="en-US"/>
        </w:rPr>
        <w:t xml:space="preserve">occurs predominantly in patients with little or no background immunity, including children aged 2-6 years growing up in endemic areas of Africa, or adults who have not acquired immunity to malarial infection or have lost their immunity to the disease </w:t>
      </w:r>
      <w:r w:rsidRPr="00BF3C5D">
        <w:rPr>
          <w:rFonts w:ascii="Times New Roman" w:hAnsi="Times New Roman" w:cs="Times New Roman"/>
          <w:sz w:val="24"/>
          <w:szCs w:val="24"/>
          <w:lang w:val="en-US"/>
        </w:rPr>
        <w:fldChar w:fldCharType="begin" w:fldLock="1"/>
      </w:r>
      <w:r w:rsidR="003F6C97" w:rsidRPr="00BF3C5D">
        <w:rPr>
          <w:rFonts w:ascii="Times New Roman" w:hAnsi="Times New Roman" w:cs="Times New Roman"/>
          <w:sz w:val="24"/>
          <w:szCs w:val="24"/>
          <w:lang w:val="en-US"/>
        </w:rPr>
        <w:instrText>ADDIN CSL_CITATION {"citationItems":[{"id":"ITEM-1","itemData":{"ISSN":"00368075","author":[{"dropping-particle":"","family":"Grau","given":"Georges E","non-dropping-particle":"","parse-names":false,"suffix":""},{"dropping-particle":"","family":"Fajardo","given":"Luis F","non-dropping-particle":"","parse-names":false,"suffix":""},{"dropping-particle":"","family":"Piguet","given":"Pierre-Francois","non-dropping-particle":"","parse-names":false,"suffix":""},{"dropping-particle":"","family":"Allet","given":"Bernard","non-dropping-particle":"","parse-names":false,"suffix":""},{"dropping-particle":"","family":"Lambert","given":"Paul-Henri","non-dropping-particle":"","parse-names":false,"suffix":""},{"dropping-particle":"","family":"Vassalli","given":"Pierre","non-dropping-particle":"","parse-names":false,"suffix":""}],"container-title":"Science","id":"ITEM-1","issue":"4819","issued":{"date-parts":[["1987"]]},"page":"1210-1213","title":"Tumor necrosis factor (cachetin) as an essential mediator in murine cerebral malaria","type":"article-journal","volume":"237"},"uris":["http://www.mendeley.com/documents/?uuid=982a3843-ed14-3948-a184-2a33a7f64705"]}],"mendeley":{"formattedCitation":"(Grau et al., 1987)","plainTextFormattedCitation":"(Grau et al., 1987)","previouslyFormattedCitation":"(Grau et al., 1987)"},"properties":{"noteIndex":0},"schema":"https://github.com/citation-style-language/schema/raw/master/csl-citation.json"}</w:instrText>
      </w:r>
      <w:r w:rsidRPr="00BF3C5D">
        <w:rPr>
          <w:rFonts w:ascii="Times New Roman" w:hAnsi="Times New Roman" w:cs="Times New Roman"/>
          <w:sz w:val="24"/>
          <w:szCs w:val="24"/>
          <w:lang w:val="en-US"/>
        </w:rPr>
        <w:fldChar w:fldCharType="separate"/>
      </w:r>
      <w:r w:rsidRPr="00BF3C5D">
        <w:rPr>
          <w:rFonts w:ascii="Times New Roman" w:hAnsi="Times New Roman" w:cs="Times New Roman"/>
          <w:noProof/>
          <w:sz w:val="24"/>
          <w:szCs w:val="24"/>
          <w:lang w:val="en-US"/>
        </w:rPr>
        <w:t>(Grau et al., 1987)</w:t>
      </w:r>
      <w:r w:rsidRPr="00BF3C5D">
        <w:rPr>
          <w:rFonts w:ascii="Times New Roman" w:hAnsi="Times New Roman" w:cs="Times New Roman"/>
          <w:sz w:val="24"/>
          <w:szCs w:val="24"/>
          <w:lang w:val="en-US"/>
        </w:rPr>
        <w:fldChar w:fldCharType="end"/>
      </w:r>
      <w:r w:rsidRPr="00BF3C5D">
        <w:rPr>
          <w:rFonts w:ascii="Times New Roman" w:hAnsi="Times New Roman" w:cs="Times New Roman"/>
          <w:sz w:val="24"/>
          <w:szCs w:val="24"/>
          <w:lang w:val="en-US"/>
        </w:rPr>
        <w:t xml:space="preserve">. This severe complication represents an enormous burden of disease due to the high prevalence of infection </w:t>
      </w:r>
      <w:r w:rsidRPr="00BF3C5D">
        <w:rPr>
          <w:rFonts w:ascii="Times New Roman" w:hAnsi="Times New Roman" w:cs="Times New Roman"/>
          <w:sz w:val="24"/>
          <w:szCs w:val="24"/>
          <w:lang w:val="en-US"/>
        </w:rPr>
        <w:fldChar w:fldCharType="begin" w:fldLock="1"/>
      </w:r>
      <w:r w:rsidR="003F6C97" w:rsidRPr="00BF3C5D">
        <w:rPr>
          <w:rFonts w:ascii="Times New Roman" w:hAnsi="Times New Roman" w:cs="Times New Roman"/>
          <w:sz w:val="24"/>
          <w:szCs w:val="24"/>
          <w:lang w:val="en-US"/>
        </w:rPr>
        <w:instrText>ADDIN CSL_CITATION {"citationItems":[{"id":"ITEM-1","itemData":{"DOI":"10.1016/J.IJPARA.2006.02.004","ISSN":"0020-7519","abstract":"Malaria represents a continuing and major global health challenge and our understanding of how the Plasmodium parasite causes severe disease and death remains poor. One serious complication of the infection is cerebral malaria, a clinically complex syndrome of coma and potentially reversible encephalopathy, associated with a high mortality rate and increasingly recognised long-term sequelae in survivors. Research into the pathophysiology of cerebral malaria, using a combination of clinical and pathological studies, animal models and in vitro cell culture work, has focussed attention on the blood–brain barrier (BBB). This represents the key interface between the brain parenchyma and the parasite, which develops within an infected red cell but remains inside the vascular space. Studies of BBB function in cerebral malaria have provided some evidence for parasite-induced changes secondary to sequestration of parasitised red blood cells and host leukocytes within the cerebral microvasculature, such as redistribution of endothelial cell intercellular junction proteins and intracellular signaling. However, the evidence for a generalised increase in BBB permeability, leading to cerebral oedema, is conflicting. As well as direct cell adhesion-dependent effects, local adhesion-independent effects may activate and damage cerebral endothelial cells and perivascular cells, such as decreased blood flow, hypoxia or the effects of parasite toxins such as pigment. Finally, a number of systemic mechanisms could influence the BBB during malaria, such as the metabolic and inflammatory complications of severe disease acting ‘at a distance'. This review will summarise evidence for these mechanisms from human studies of cerebral malaria and discuss the possible role for BBB dysfunction in this complex and challenging disease.","author":[{"dropping-particle":"","family":"Medana","given":"Isabelle M","non-dropping-particle":"","parse-names":false,"suffix":""},{"dropping-particle":"","family":"Turner","given":"Gareth D H","non-dropping-particle":"","parse-names":false,"suffix":""}],"container-title":"International Journal for Parasitology","id":"ITEM-1","issue":"5","issued":{"date-parts":[["2006"]]},"page":"555-568","publisher":"Pergamon","title":"Human cerebral malaria and the blood–brain barrier","type":"article-journal","volume":"36"},"uris":["http://www.mendeley.com/documents/?uuid=5681c8e0-5185-3087-8881-a667f3605f18"]}],"mendeley":{"formattedCitation":"(Medana &amp; Turner, 2006)","plainTextFormattedCitation":"(Medana &amp; Turner, 2006)","previouslyFormattedCitation":"(Medana &amp; Turner, 2006)"},"properties":{"noteIndex":0},"schema":"https://github.com/citation-style-language/schema/raw/master/csl-citation.json"}</w:instrText>
      </w:r>
      <w:r w:rsidRPr="00BF3C5D">
        <w:rPr>
          <w:rFonts w:ascii="Times New Roman" w:hAnsi="Times New Roman" w:cs="Times New Roman"/>
          <w:sz w:val="24"/>
          <w:szCs w:val="24"/>
          <w:lang w:val="en-US"/>
        </w:rPr>
        <w:fldChar w:fldCharType="separate"/>
      </w:r>
      <w:r w:rsidRPr="00BF3C5D">
        <w:rPr>
          <w:rFonts w:ascii="Times New Roman" w:hAnsi="Times New Roman" w:cs="Times New Roman"/>
          <w:noProof/>
          <w:sz w:val="24"/>
          <w:szCs w:val="24"/>
          <w:lang w:val="en-US"/>
        </w:rPr>
        <w:t>(Medana &amp; Turner, 2006)</w:t>
      </w:r>
      <w:r w:rsidRPr="00BF3C5D">
        <w:rPr>
          <w:rFonts w:ascii="Times New Roman" w:hAnsi="Times New Roman" w:cs="Times New Roman"/>
          <w:sz w:val="24"/>
          <w:szCs w:val="24"/>
          <w:lang w:val="en-US"/>
        </w:rPr>
        <w:fldChar w:fldCharType="end"/>
      </w:r>
      <w:r w:rsidRPr="00BF3C5D">
        <w:rPr>
          <w:rFonts w:ascii="Times New Roman" w:hAnsi="Times New Roman" w:cs="Times New Roman"/>
          <w:sz w:val="24"/>
          <w:szCs w:val="24"/>
          <w:lang w:val="en-US"/>
        </w:rPr>
        <w:t xml:space="preserve"> and it is considered the most important parasitic CNS disease worldwide, accounting for 80% of all fatal cases of malaria </w:t>
      </w:r>
      <w:r w:rsidRPr="00BF3C5D">
        <w:rPr>
          <w:rFonts w:ascii="Times New Roman" w:hAnsi="Times New Roman" w:cs="Times New Roman"/>
          <w:sz w:val="24"/>
          <w:szCs w:val="24"/>
          <w:lang w:val="en-US"/>
        </w:rPr>
        <w:fldChar w:fldCharType="begin" w:fldLock="1"/>
      </w:r>
      <w:r w:rsidR="003F6C97" w:rsidRPr="00BF3C5D">
        <w:rPr>
          <w:rFonts w:ascii="Times New Roman" w:hAnsi="Times New Roman" w:cs="Times New Roman"/>
          <w:sz w:val="24"/>
          <w:szCs w:val="24"/>
          <w:lang w:val="en-US"/>
        </w:rPr>
        <w:instrText>ADDIN CSL_CITATION {"citationItems":[{"id":"ITEM-1","itemData":{"DOI":"10.1016/j.brainres.2012.10.040","ISSN":"00068993","PMID":"23123703","abstract":"The role of neurotrophic factors on the integrity of the central nervous system (CNS) during cerebral malaria (CM) infection remains obscure, but the long-standing neurocognitive sequelae often observed in rescued children can be attributed in part to the modulation of neuronal survival and synaptic plasticity. To discriminate the contribution of key responses in the time-sequence of the pathogenic events that trigger the development of neurocognitive malaria syndrome we defined four stages (I-IV) of the neurological progression of CM in C57BL/6 mice infected with Plasmodium berghei ANKA. Upregulation of ICAM-1, VCAM-1, e-selectin and p-selectin expression was detected in all cerebral regions before parasitized red blood cells (pRBC) accumulation. As the severity of symptoms increased, BDNF mRNA progressively diminished in several brain regions, earliest in the thalamus-hypothalamus, cerebellum, brainstem and cortex, and correlated with a four-stage disease sequence. Immunohistochemical confocal microscopy revealed changes in the BDNF distribution pattern, suggesting altered axonal transport. During CM progression, molecular markers of neurological infection and inflammation in the parasite and the host, respectively, were accompanied by a switch in the brain constitutive proteasome to the immunoproteasome, which could impede normal protein turnover. In parallel with BDNF downregulation, NCAM expression also diminished with increased CM severity. Together, these data suggest that changes in BDNF availability could be involved in the pathogenesis of CM. © 2012 Elsevier B.V.","author":[{"dropping-particle":"","family":"Linares","given":"María","non-dropping-particle":"","parse-names":false,"suffix":""},{"dropping-particle":"","family":"Marín-García","given":"Patricia","non-dropping-particle":"","parse-names":false,"suffix":""},{"dropping-particle":"","family":"Pérez-Benavente","given":"Susana","non-dropping-particle":"","parse-names":false,"suffix":""},{"dropping-particle":"","family":"Sánchez-Nogueiro","given":"Jesús","non-dropping-particle":"","parse-names":false,"suffix":""},{"dropping-particle":"","family":"Puyet","given":"Antonio","non-dropping-particle":"","parse-names":false,"suffix":""},{"dropping-particle":"","family":"Bautista","given":"José M","non-dropping-particle":"","parse-names":false,"suffix":""},{"dropping-particle":"","family":"Diez","given":"Amalia","non-dropping-particle":"","parse-names":false,"suffix":""}],"container-title":"Brain Research","id":"ITEM-1","issued":{"date-parts":[["2013"]]},"page":"210-224","title":"Brain-derived neurotrophic factor and the course of experimental cerebral malaria","type":"article-journal","volume":"1490"},"uris":["http://www.mendeley.com/documents/?uuid=bde6da24-475e-3cc5-840b-0ebe41f7a31b"]}],"mendeley":{"formattedCitation":"(Linares et al., 2013)","plainTextFormattedCitation":"(Linares et al., 2013)","previouslyFormattedCitation":"(Linares et al., 2013)"},"properties":{"noteIndex":0},"schema":"https://github.com/citation-style-language/schema/raw/master/csl-citation.json"}</w:instrText>
      </w:r>
      <w:r w:rsidRPr="00BF3C5D">
        <w:rPr>
          <w:rFonts w:ascii="Times New Roman" w:hAnsi="Times New Roman" w:cs="Times New Roman"/>
          <w:sz w:val="24"/>
          <w:szCs w:val="24"/>
          <w:lang w:val="en-US"/>
        </w:rPr>
        <w:fldChar w:fldCharType="separate"/>
      </w:r>
      <w:r w:rsidRPr="00BF3C5D">
        <w:rPr>
          <w:rFonts w:ascii="Times New Roman" w:hAnsi="Times New Roman" w:cs="Times New Roman"/>
          <w:noProof/>
          <w:sz w:val="24"/>
          <w:szCs w:val="24"/>
          <w:lang w:val="en-US"/>
        </w:rPr>
        <w:t>(Linares et al., 2013)</w:t>
      </w:r>
      <w:r w:rsidRPr="00BF3C5D">
        <w:rPr>
          <w:rFonts w:ascii="Times New Roman" w:hAnsi="Times New Roman" w:cs="Times New Roman"/>
          <w:sz w:val="24"/>
          <w:szCs w:val="24"/>
          <w:lang w:val="en-US"/>
        </w:rPr>
        <w:fldChar w:fldCharType="end"/>
      </w:r>
      <w:r w:rsidRPr="00BF3C5D">
        <w:rPr>
          <w:rFonts w:ascii="Times New Roman" w:hAnsi="Times New Roman" w:cs="Times New Roman"/>
          <w:sz w:val="24"/>
          <w:szCs w:val="24"/>
          <w:lang w:val="en-US"/>
        </w:rPr>
        <w:t xml:space="preserve">. If left untreated, CM is nearly always fatal and, even when treated, this neurological syndrome has an approximate 15-30% of mortality rate </w:t>
      </w:r>
      <w:r w:rsidRPr="00BF3C5D">
        <w:rPr>
          <w:rFonts w:ascii="Times New Roman" w:hAnsi="Times New Roman" w:cs="Times New Roman"/>
          <w:sz w:val="24"/>
          <w:szCs w:val="24"/>
          <w:lang w:val="en-US"/>
        </w:rPr>
        <w:fldChar w:fldCharType="begin" w:fldLock="1"/>
      </w:r>
      <w:r w:rsidR="003F6C97" w:rsidRPr="00BF3C5D">
        <w:rPr>
          <w:rFonts w:ascii="Times New Roman" w:hAnsi="Times New Roman" w:cs="Times New Roman"/>
          <w:sz w:val="24"/>
          <w:szCs w:val="24"/>
          <w:lang w:val="en-US"/>
        </w:rPr>
        <w:instrText>ADDIN CSL_CITATION {"citationItems":[{"id":"ITEM-1","itemData":{"DOI":"10.4084/MJHID.2012.026","ISSN":"2035-3006","PMID":"22708041","abstract":"The first symptoms of malaria, common to all the different malaria species, are nonspecific and mimic a flu-like syndrome. Although fever represents the cardinal feature, clinical findings in malaria are extremely diverse and may range in severity from mild headache to serious complications leading to death, particularly in falciparum malaria. As the progression to these complications can be rapid, any malaria patient must be assessed and treated rapidly, and frequent observations are needed to look for early signs of systemic complications.In fact, severe malaria is a life threatening but treatable disease. The protean and nonspecific clinical findings occurring in malaria (fever, malaise, headache, myalgias, jaundice and sometimes gastrointestinal symptoms of nausea, vomiting and diarrhoea) may lead physicians who see malaria infrequently to a wrong diagnosis, such as influenza (particularly during the seasonal epidemic flu), dengue, gastroenteritis, typhoid fever, viral hepatitis, encephalitis. Physicians should be aware that malaria is not a clinical diagnosis but must be diagnosed, or excluded, by performing microscopic examination of blood films. Prompt diagnosis and appropriate treatment are then crucial to prevent morbidity and fatal outcomes. Although Plasmodium falciparum malaria is the major cause of severe malaria and death, increasing evidence has recently emerged that Plasmodium vivax and Plasmodium knowlesi can also be severe and even fatal.","author":[{"dropping-particle":"","family":"Bartoloni","given":"Alessandro","non-dropping-particle":"","parse-names":false,"suffix":""},{"dropping-particle":"","family":"Zammarchi","given":"Lorenzo","non-dropping-particle":"","parse-names":false,"suffix":""}],"container-title":"Mediterranean journal of hematology and infectious diseases","id":"ITEM-1","issue":"1","issued":{"date-parts":[["2012"]]},"page":"e2012026","publisher":"Catholic University in Rome","title":"Clinical aspects of uncomplicated and severe malaria.","type":"article-journal","volume":"4"},"uris":["http://www.mendeley.com/documents/?uuid=94cb0a1a-9375-3d22-864b-1c5a44e21d03"]}],"mendeley":{"formattedCitation":"(Bartoloni &amp; Zammarchi, 2012)","plainTextFormattedCitation":"(Bartoloni &amp; Zammarchi, 2012)","previouslyFormattedCitation":"(Bartoloni &amp; Zammarchi, 2012)"},"properties":{"noteIndex":0},"schema":"https://github.com/citation-style-language/schema/raw/master/csl-citation.json"}</w:instrText>
      </w:r>
      <w:r w:rsidRPr="00BF3C5D">
        <w:rPr>
          <w:rFonts w:ascii="Times New Roman" w:hAnsi="Times New Roman" w:cs="Times New Roman"/>
          <w:sz w:val="24"/>
          <w:szCs w:val="24"/>
          <w:lang w:val="en-US"/>
        </w:rPr>
        <w:fldChar w:fldCharType="separate"/>
      </w:r>
      <w:r w:rsidRPr="00BF3C5D">
        <w:rPr>
          <w:rFonts w:ascii="Times New Roman" w:hAnsi="Times New Roman" w:cs="Times New Roman"/>
          <w:noProof/>
          <w:sz w:val="24"/>
          <w:szCs w:val="24"/>
          <w:lang w:val="en-US"/>
        </w:rPr>
        <w:t>(Bartoloni &amp; Zammarchi, 2012)</w:t>
      </w:r>
      <w:r w:rsidRPr="00BF3C5D">
        <w:rPr>
          <w:rFonts w:ascii="Times New Roman" w:hAnsi="Times New Roman" w:cs="Times New Roman"/>
          <w:sz w:val="24"/>
          <w:szCs w:val="24"/>
          <w:lang w:val="en-US"/>
        </w:rPr>
        <w:fldChar w:fldCharType="end"/>
      </w:r>
      <w:r w:rsidRPr="00BF3C5D">
        <w:rPr>
          <w:rFonts w:ascii="Times New Roman" w:hAnsi="Times New Roman" w:cs="Times New Roman"/>
          <w:sz w:val="24"/>
          <w:szCs w:val="24"/>
          <w:lang w:val="en-US"/>
        </w:rPr>
        <w:t xml:space="preserve">. </w:t>
      </w:r>
      <w:r w:rsidR="00A32BB5">
        <w:rPr>
          <w:rFonts w:ascii="Times New Roman" w:hAnsi="Times New Roman" w:cs="Times New Roman"/>
          <w:sz w:val="24"/>
          <w:szCs w:val="24"/>
          <w:lang w:val="en-US"/>
        </w:rPr>
        <w:t>Among survivors, moreover</w:t>
      </w:r>
      <w:r w:rsidRPr="00BF3C5D">
        <w:rPr>
          <w:rFonts w:ascii="Times New Roman" w:hAnsi="Times New Roman" w:cs="Times New Roman"/>
          <w:sz w:val="24"/>
          <w:szCs w:val="24"/>
          <w:lang w:val="en-US"/>
        </w:rPr>
        <w:t xml:space="preserve">, more than 10% of the affected children have neurological sequelae. Long-term cognitive impairments have been reported in </w:t>
      </w:r>
      <w:r w:rsidR="0085073B">
        <w:rPr>
          <w:rFonts w:ascii="Times New Roman" w:hAnsi="Times New Roman" w:cs="Times New Roman"/>
          <w:sz w:val="24"/>
          <w:szCs w:val="24"/>
          <w:lang w:val="en-US"/>
        </w:rPr>
        <w:t>one</w:t>
      </w:r>
      <w:r w:rsidRPr="00BF3C5D">
        <w:rPr>
          <w:rFonts w:ascii="Times New Roman" w:hAnsi="Times New Roman" w:cs="Times New Roman"/>
          <w:sz w:val="24"/>
          <w:szCs w:val="24"/>
          <w:lang w:val="en-US"/>
        </w:rPr>
        <w:t xml:space="preserve"> of </w:t>
      </w:r>
      <w:r w:rsidR="0085073B">
        <w:rPr>
          <w:rFonts w:ascii="Times New Roman" w:hAnsi="Times New Roman" w:cs="Times New Roman"/>
          <w:sz w:val="24"/>
          <w:szCs w:val="24"/>
          <w:lang w:val="en-US"/>
        </w:rPr>
        <w:t>every four</w:t>
      </w:r>
      <w:r w:rsidRPr="00BF3C5D">
        <w:rPr>
          <w:rFonts w:ascii="Times New Roman" w:hAnsi="Times New Roman" w:cs="Times New Roman"/>
          <w:sz w:val="24"/>
          <w:szCs w:val="24"/>
          <w:lang w:val="en-US"/>
        </w:rPr>
        <w:t xml:space="preserve"> child survivors of CM </w:t>
      </w:r>
      <w:r w:rsidRPr="00BF3C5D">
        <w:rPr>
          <w:rFonts w:ascii="Times New Roman" w:hAnsi="Times New Roman" w:cs="Times New Roman"/>
          <w:sz w:val="24"/>
          <w:szCs w:val="24"/>
          <w:lang w:val="en-US"/>
        </w:rPr>
        <w:fldChar w:fldCharType="begin" w:fldLock="1"/>
      </w:r>
      <w:r w:rsidR="003F6C97" w:rsidRPr="00BF3C5D">
        <w:rPr>
          <w:rFonts w:ascii="Times New Roman" w:hAnsi="Times New Roman" w:cs="Times New Roman"/>
          <w:sz w:val="24"/>
          <w:szCs w:val="24"/>
          <w:lang w:val="en-US"/>
        </w:rPr>
        <w:instrText>ADDIN CSL_CITATION {"citationItems":[{"id":"ITEM-1","itemData":{"DOI":"10.1016/J.BRAINRESREV.2010.09.008","ISSN":"0165-0173","abstract":"An overview of current concepts on neuroinflammation and on the dialogue between neurons and non-neuronal cells in three important infections of the central nervous systems (rabies, cerebral malaria, and human African trypanosomiasis or sleeping sickness) is here presented. Large numbers of cases affected by these diseases are currently reported. In the context of an issue dedicated to Camillo Golgi, historical notes on seminal discoveries on these diseases are also presented. Neuroinflammation is currently closely associated with pathogenetic mechanisms of chronic neurodegenerative diseases. Neuroinflammatory signaling in brain infections is instead relatively neglected in the neuroscience community, despite the fact that the above infections provide paradigmatic examples of alterations of the intercellular crosstalk between neurons and non-neuronal cells. In rabies, strategies of immune evasion of the host lead to silencing neuroinflammatory signaling. In the intravascular pathology which characterizes cerebral malaria, leukocytes and Plasmodium do not enter the brain parenchyma. In sleeping sickness, leukocytes and African trypanosomes invade the brain parenchyma at an advanced stage of infection. Both the latter pathologies leave open many questions on the targeting of neuronal functions and on the pathogenetic role of non-neuronal cells, and in particular astrocytes and microglia, in these diseases. All three infections are hallmarked by very severe clinical pictures and relative sparing of neuronal structure. Multidisciplinary approaches and a concerted action of the neuroscience community are needed to shed light on intercellular crosstalk in these dreadful brain diseases. Such effort could also lead to new knowledge on non-neuronal mechanisms which determine neuronal death or survival.","author":[{"dropping-particle":"","family":"Mariotti","given":"Raffaella","non-dropping-particle":"","parse-names":false,"suffix":""},{"dropping-particle":"","family":"Bertini","given":"Giuseppe","non-dropping-particle":"","parse-names":false,"suffix":""}],"container-title":"Brain Research Reviews","id":"ITEM-1","issue":"1-2","issued":{"date-parts":[["2011"]]},"page":"152-173","publisher":"Elsevier","title":"Neuroinflammation and brain infections: Historical context and current perspectives","type":"article-journal","volume":"66"},"uris":["http://www.mendeley.com/documents/?uuid=dbfc8d87-ee55-3492-a23b-68fa53420c76"]}],"mendeley":{"formattedCitation":"(Mariotti &amp; Bertini, 2011)","plainTextFormattedCitation":"(Mariotti &amp; Bertini, 2011)","previouslyFormattedCitation":"(Mariotti &amp; Bertini, 2011)"},"properties":{"noteIndex":0},"schema":"https://github.com/citation-style-language/schema/raw/master/csl-citation.json"}</w:instrText>
      </w:r>
      <w:r w:rsidRPr="00BF3C5D">
        <w:rPr>
          <w:rFonts w:ascii="Times New Roman" w:hAnsi="Times New Roman" w:cs="Times New Roman"/>
          <w:sz w:val="24"/>
          <w:szCs w:val="24"/>
          <w:lang w:val="en-US"/>
        </w:rPr>
        <w:fldChar w:fldCharType="separate"/>
      </w:r>
      <w:r w:rsidRPr="00BF3C5D">
        <w:rPr>
          <w:rFonts w:ascii="Times New Roman" w:hAnsi="Times New Roman" w:cs="Times New Roman"/>
          <w:noProof/>
          <w:sz w:val="24"/>
          <w:szCs w:val="24"/>
          <w:lang w:val="en-US"/>
        </w:rPr>
        <w:t>(Mariotti &amp; Bertini, 2011)</w:t>
      </w:r>
      <w:r w:rsidRPr="00BF3C5D">
        <w:rPr>
          <w:rFonts w:ascii="Times New Roman" w:hAnsi="Times New Roman" w:cs="Times New Roman"/>
          <w:sz w:val="24"/>
          <w:szCs w:val="24"/>
          <w:lang w:val="en-US"/>
        </w:rPr>
        <w:fldChar w:fldCharType="end"/>
      </w:r>
      <w:r w:rsidRPr="00BF3C5D">
        <w:rPr>
          <w:rFonts w:ascii="Times New Roman" w:hAnsi="Times New Roman" w:cs="Times New Roman"/>
          <w:sz w:val="24"/>
          <w:szCs w:val="24"/>
          <w:lang w:val="en-US"/>
        </w:rPr>
        <w:t>.</w:t>
      </w:r>
    </w:p>
    <w:p w14:paraId="3CD78F11" w14:textId="4E8C6912" w:rsidR="0087757B" w:rsidRPr="00BF3C5D" w:rsidRDefault="0087757B" w:rsidP="00BF3C5D">
      <w:pPr>
        <w:spacing w:before="120" w:after="120" w:line="360" w:lineRule="auto"/>
        <w:jc w:val="both"/>
        <w:rPr>
          <w:rFonts w:ascii="Times New Roman" w:hAnsi="Times New Roman" w:cs="Times New Roman"/>
          <w:sz w:val="24"/>
          <w:szCs w:val="24"/>
          <w:lang w:val="en-US"/>
        </w:rPr>
      </w:pPr>
      <w:r w:rsidRPr="00BF3C5D">
        <w:rPr>
          <w:rFonts w:ascii="Times New Roman" w:hAnsi="Times New Roman" w:cs="Times New Roman"/>
          <w:sz w:val="24"/>
          <w:szCs w:val="24"/>
          <w:lang w:val="en-US"/>
        </w:rPr>
        <w:t xml:space="preserve">CM is a complex condition whose pathogenesis is not completely understood. Several hypotheses have been raised to explain the pathophysiology of the disease, </w:t>
      </w:r>
      <w:r w:rsidR="00A32BB5">
        <w:rPr>
          <w:rFonts w:ascii="Times New Roman" w:hAnsi="Times New Roman" w:cs="Times New Roman"/>
          <w:sz w:val="24"/>
          <w:szCs w:val="24"/>
          <w:lang w:val="en-US"/>
        </w:rPr>
        <w:t>but</w:t>
      </w:r>
      <w:r w:rsidRPr="00BF3C5D">
        <w:rPr>
          <w:rFonts w:ascii="Times New Roman" w:hAnsi="Times New Roman" w:cs="Times New Roman"/>
          <w:sz w:val="24"/>
          <w:szCs w:val="24"/>
          <w:lang w:val="en-US"/>
        </w:rPr>
        <w:t xml:space="preserve"> none of them explain the pathogenesis</w:t>
      </w:r>
      <w:r w:rsidR="00A32BB5">
        <w:rPr>
          <w:rFonts w:ascii="Times New Roman" w:hAnsi="Times New Roman" w:cs="Times New Roman"/>
          <w:sz w:val="24"/>
          <w:szCs w:val="24"/>
          <w:lang w:val="en-US"/>
        </w:rPr>
        <w:t xml:space="preserve"> by themselves</w:t>
      </w:r>
      <w:r w:rsidRPr="00BF3C5D">
        <w:rPr>
          <w:rFonts w:ascii="Times New Roman" w:hAnsi="Times New Roman" w:cs="Times New Roman"/>
          <w:sz w:val="24"/>
          <w:szCs w:val="24"/>
          <w:lang w:val="en-US"/>
        </w:rPr>
        <w:t xml:space="preserve">. Many authors suggest that the combination of mechanical obstruction of microvessels by parasitized red blood cells (pRBC) and exacerbated neuroinflammation are the main two mechanisms triggering the neurological syndrome </w:t>
      </w:r>
      <w:r w:rsidRPr="00BF3C5D">
        <w:rPr>
          <w:rFonts w:ascii="Times New Roman" w:hAnsi="Times New Roman" w:cs="Times New Roman"/>
          <w:sz w:val="24"/>
          <w:szCs w:val="24"/>
          <w:lang w:val="en-US"/>
        </w:rPr>
        <w:fldChar w:fldCharType="begin" w:fldLock="1"/>
      </w:r>
      <w:r w:rsidR="003F6C97" w:rsidRPr="00BF3C5D">
        <w:rPr>
          <w:rFonts w:ascii="Times New Roman" w:hAnsi="Times New Roman" w:cs="Times New Roman"/>
          <w:sz w:val="24"/>
          <w:szCs w:val="24"/>
          <w:lang w:val="en-US"/>
        </w:rPr>
        <w:instrText>ADDIN CSL_CITATION {"citationItems":[{"id":"ITEM-1","itemData":{"DOI":"10.1016/j.ijpara.2006.02.005","ISBN":"0020-7519 (Print)\\r0020-7519 (Linking)","ISSN":"00207519","PMID":"16600245","abstract":"Brain lesions of cerebral malaria (CM) are characterised by a sequestration of Plasmodium falciparum-parasitised red blood cells (PRBC), leucocytes and platelets within brain microvessels, by an excessive release of pro-inflammatory cytokines as well as by disruption of the blood-brain barrier (BBB). We evaluated the possibility that PRBC and platelets interact and induce functional alterations in brain endothelium. Using an in vitro model of endothelial lesion, we showed that platelets can act as bridges between PRBC and endothelial cells (EC) allowing the binding of PRBC to endothelium devoid of cytoadherence receptors. Furthermore, platelets potentiated the cytotoxicity of PRBC for brain EC by inducing an alteration of the integrity of their monolayer and increasing their apoptosis. These findings provide insights into the mechanisms by which platelets can be deleterious to the brain endothelium during CM. Another aspect of inflammatory and infectious diseases is that they often lead to activation of vascular and blood cells. Such activation results in an enhanced vesiculation, i.e. the release of circulating microparticles (MP). We thus explored plasma levels of endothelial MP in Malawian children with malaria. Plasma MP numbers were markedly increased on admission only in patients with severe malaria complicated with coma. Using the experimental mouse model of CM, we evaluated the pathogenic implications of MP using genetically deficient mice in which the capacity to vesiculate is impaired. Such mice, lacking the ABCA-1 gene, upon infection by Plasmodium berghei ANKA, showed complete resistance to CM. When purified from infected susceptible animals, MP were able to reduce normal plasma clotting time and to significantly enhance tumour necrosis factor release from naïve macrophages. Altogether these data provide a novel insight into the pathogenic mechanisms leading to the neurological syndrome. The finding that ABCA-1 gene deletion confers complete protection against cerebral pathology, linked to an impaired MP production, provides new potential targets for therapeutic amelioration of severe malaria. © 2006 Australian Society for Parasitology Inc.","author":[{"dropping-particle":"","family":"Combes","given":"Valéry","non-dropping-particle":"","parse-names":false,"suffix":""},{"dropping-particle":"","family":"Coltel","given":"Nicolas","non-dropping-particle":"","parse-names":false,"suffix":""},{"dropping-particle":"","family":"Faille","given":"Dorothée","non-dropping-particle":"","parse-names":false,"suffix":""},{"dropping-particle":"","family":"Wassmer","given":"Samuel Crocodile","non-dropping-particle":"","parse-names":false,"suffix":""},{"dropping-particle":"","family":"Grau","given":"Georges Emile","non-dropping-particle":"","parse-names":false,"suffix":""}],"container-title":"International Journal for Parasitology","id":"ITEM-1","issue":"5","issued":{"date-parts":[["2006"]]},"page":"541-546","title":"Cerebral malaria: role of microparticles and platelets in alterations of the blood-brain barrier","type":"article-journal","volume":"36"},"uris":["http://www.mendeley.com/documents/?uuid=d47de3e0-88f6-39fb-9199-8e49e402d2b5"]}],"mendeley":{"formattedCitation":"(Combes, Coltel, Faille, Wassmer, &amp; Grau, 2006)","plainTextFormattedCitation":"(Combes, Coltel, Faille, Wassmer, &amp; Grau, 2006)","previouslyFormattedCitation":"(Combes, Coltel, Faille, Wassmer, &amp; Grau, 2006)"},"properties":{"noteIndex":0},"schema":"https://github.com/citation-style-language/schema/raw/master/csl-citation.json"}</w:instrText>
      </w:r>
      <w:r w:rsidRPr="00BF3C5D">
        <w:rPr>
          <w:rFonts w:ascii="Times New Roman" w:hAnsi="Times New Roman" w:cs="Times New Roman"/>
          <w:sz w:val="24"/>
          <w:szCs w:val="24"/>
          <w:lang w:val="en-US"/>
        </w:rPr>
        <w:fldChar w:fldCharType="separate"/>
      </w:r>
      <w:r w:rsidRPr="00BF3C5D">
        <w:rPr>
          <w:rFonts w:ascii="Times New Roman" w:hAnsi="Times New Roman" w:cs="Times New Roman"/>
          <w:noProof/>
          <w:sz w:val="24"/>
          <w:szCs w:val="24"/>
          <w:lang w:val="en-US"/>
        </w:rPr>
        <w:t>(Combes</w:t>
      </w:r>
      <w:r w:rsidR="00A32BB5">
        <w:rPr>
          <w:rFonts w:ascii="Times New Roman" w:hAnsi="Times New Roman" w:cs="Times New Roman"/>
          <w:noProof/>
          <w:sz w:val="24"/>
          <w:szCs w:val="24"/>
          <w:lang w:val="en-US"/>
        </w:rPr>
        <w:t xml:space="preserve"> et al.</w:t>
      </w:r>
      <w:r w:rsidRPr="00BF3C5D">
        <w:rPr>
          <w:rFonts w:ascii="Times New Roman" w:hAnsi="Times New Roman" w:cs="Times New Roman"/>
          <w:noProof/>
          <w:sz w:val="24"/>
          <w:szCs w:val="24"/>
          <w:lang w:val="en-US"/>
        </w:rPr>
        <w:t>, 2006)</w:t>
      </w:r>
      <w:r w:rsidRPr="00BF3C5D">
        <w:rPr>
          <w:rFonts w:ascii="Times New Roman" w:hAnsi="Times New Roman" w:cs="Times New Roman"/>
          <w:sz w:val="24"/>
          <w:szCs w:val="24"/>
          <w:lang w:val="en-US"/>
        </w:rPr>
        <w:fldChar w:fldCharType="end"/>
      </w:r>
      <w:r w:rsidRPr="00BF3C5D">
        <w:rPr>
          <w:rFonts w:ascii="Times New Roman" w:hAnsi="Times New Roman" w:cs="Times New Roman"/>
          <w:sz w:val="24"/>
          <w:szCs w:val="24"/>
          <w:lang w:val="en-US"/>
        </w:rPr>
        <w:t xml:space="preserve">. </w:t>
      </w:r>
    </w:p>
    <w:p w14:paraId="349855B8" w14:textId="713CE006" w:rsidR="0087757B" w:rsidRPr="00BF3C5D" w:rsidRDefault="0087757B" w:rsidP="00BF3C5D">
      <w:pPr>
        <w:pStyle w:val="CommentText"/>
        <w:spacing w:after="120" w:line="360" w:lineRule="auto"/>
        <w:jc w:val="both"/>
        <w:rPr>
          <w:rFonts w:ascii="Times New Roman" w:hAnsi="Times New Roman" w:cs="Times New Roman"/>
          <w:sz w:val="24"/>
          <w:szCs w:val="24"/>
          <w:lang w:val="en-US"/>
        </w:rPr>
      </w:pPr>
      <w:r w:rsidRPr="00BF3C5D">
        <w:rPr>
          <w:rFonts w:ascii="Times New Roman" w:hAnsi="Times New Roman" w:cs="Times New Roman"/>
          <w:sz w:val="24"/>
          <w:szCs w:val="24"/>
          <w:lang w:val="en-US"/>
        </w:rPr>
        <w:t xml:space="preserve">Given the available knowledge on CM pathogenesis, active treatments for this neurological condition are still limited. Recent evidence suggests that cannabinoids and, in general, the </w:t>
      </w:r>
      <w:r w:rsidRPr="00562846">
        <w:rPr>
          <w:rFonts w:ascii="Times New Roman" w:hAnsi="Times New Roman" w:cs="Times New Roman"/>
          <w:sz w:val="24"/>
          <w:szCs w:val="24"/>
          <w:lang w:val="en-US"/>
        </w:rPr>
        <w:t xml:space="preserve">modulators of </w:t>
      </w:r>
      <w:r w:rsidR="007C1651" w:rsidRPr="00562846">
        <w:rPr>
          <w:rFonts w:ascii="Times New Roman" w:hAnsi="Times New Roman" w:cs="Times New Roman"/>
          <w:color w:val="000000" w:themeColor="text1"/>
          <w:sz w:val="24"/>
          <w:szCs w:val="24"/>
          <w:lang w:val="en-US"/>
        </w:rPr>
        <w:t>t</w:t>
      </w:r>
      <w:r w:rsidRPr="00562846">
        <w:rPr>
          <w:rFonts w:ascii="Times New Roman" w:hAnsi="Times New Roman" w:cs="Times New Roman"/>
          <w:color w:val="000000" w:themeColor="text1"/>
          <w:sz w:val="24"/>
          <w:szCs w:val="24"/>
          <w:lang w:val="en-US"/>
        </w:rPr>
        <w:t>he endocannabinoid system (ECS</w:t>
      </w:r>
      <w:r w:rsidRPr="00BF3C5D">
        <w:rPr>
          <w:rFonts w:ascii="Times New Roman" w:hAnsi="Times New Roman" w:cs="Times New Roman"/>
          <w:color w:val="000000" w:themeColor="text1"/>
          <w:sz w:val="24"/>
          <w:szCs w:val="24"/>
          <w:lang w:val="en-US"/>
        </w:rPr>
        <w:t xml:space="preserve">) </w:t>
      </w:r>
      <w:r w:rsidRPr="00BF3C5D">
        <w:rPr>
          <w:rFonts w:ascii="Times New Roman" w:hAnsi="Times New Roman" w:cs="Times New Roman"/>
          <w:sz w:val="24"/>
          <w:szCs w:val="24"/>
          <w:lang w:val="en-US"/>
        </w:rPr>
        <w:t>may have therapeutic value in this disease. The ECS is an intercellular communication system, widely distributed in the organism, constituted by cannabinoid receptors, endogenous ligands and the enzymatic machinery for their biosynthesis and hydrolysis. To date, two major cannabinoid receptors are known and well</w:t>
      </w:r>
      <w:r w:rsidR="00361795">
        <w:rPr>
          <w:rFonts w:ascii="Times New Roman" w:hAnsi="Times New Roman" w:cs="Times New Roman"/>
          <w:sz w:val="24"/>
          <w:szCs w:val="24"/>
          <w:lang w:val="en-US"/>
        </w:rPr>
        <w:t>-</w:t>
      </w:r>
      <w:r w:rsidRPr="00BF3C5D">
        <w:rPr>
          <w:rFonts w:ascii="Times New Roman" w:hAnsi="Times New Roman" w:cs="Times New Roman"/>
          <w:sz w:val="24"/>
          <w:szCs w:val="24"/>
          <w:lang w:val="en-US"/>
        </w:rPr>
        <w:t>characterized, which are called CB</w:t>
      </w:r>
      <w:r w:rsidRPr="00BF3C5D">
        <w:rPr>
          <w:rFonts w:ascii="Times New Roman" w:hAnsi="Times New Roman" w:cs="Times New Roman"/>
          <w:sz w:val="24"/>
          <w:szCs w:val="24"/>
          <w:vertAlign w:val="subscript"/>
          <w:lang w:val="en-US"/>
        </w:rPr>
        <w:t>1</w:t>
      </w:r>
      <w:r w:rsidRPr="00BF3C5D">
        <w:rPr>
          <w:rFonts w:ascii="Times New Roman" w:hAnsi="Times New Roman" w:cs="Times New Roman"/>
          <w:sz w:val="24"/>
          <w:szCs w:val="24"/>
          <w:lang w:val="en-US"/>
        </w:rPr>
        <w:t xml:space="preserve"> and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receptors. Both belong to the G-protein-coupled receptor (GPCR) superfamily. The wide distribution of cannabinoid receptors in the body, and the multitude of cellular signaling mechanisms in which this system is involved, suggest that ECS has critical physiological and pathophysiological significance. Among the many ECS regulatory physiological control of different systems organs and tissues, the involvement of this system in </w:t>
      </w:r>
      <w:r w:rsidRPr="00BF3C5D">
        <w:rPr>
          <w:rFonts w:ascii="Times New Roman" w:hAnsi="Times New Roman" w:cs="Times New Roman"/>
          <w:sz w:val="24"/>
          <w:szCs w:val="24"/>
          <w:lang w:val="en-US"/>
        </w:rPr>
        <w:lastRenderedPageBreak/>
        <w:t>neuroprotection processes has been vastly studied, resulting as a great drug target in the treatment of neurodegenerative diseases and acute neuronal damage. It has been observed that the ECS modulates several events which take place in this kind of pathologies, including excitotoxicity, mediated by CB</w:t>
      </w:r>
      <w:r w:rsidRPr="00BF3C5D">
        <w:rPr>
          <w:rFonts w:ascii="Times New Roman" w:hAnsi="Times New Roman" w:cs="Times New Roman"/>
          <w:sz w:val="24"/>
          <w:szCs w:val="24"/>
          <w:vertAlign w:val="subscript"/>
          <w:lang w:val="en-US"/>
        </w:rPr>
        <w:t>1</w:t>
      </w:r>
      <w:r w:rsidRPr="00BF3C5D">
        <w:rPr>
          <w:rFonts w:ascii="Times New Roman" w:hAnsi="Times New Roman" w:cs="Times New Roman"/>
          <w:sz w:val="24"/>
          <w:szCs w:val="24"/>
          <w:lang w:val="en-US"/>
        </w:rPr>
        <w:t xml:space="preserve"> activation; neuroinflammation, mainly modulated by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 in activated glia cells; decrease of reactive oxygen species (ROS) release; and neurogenesis increase </w:t>
      </w:r>
      <w:r w:rsidRPr="00BF3C5D">
        <w:rPr>
          <w:rFonts w:ascii="Times New Roman" w:hAnsi="Times New Roman" w:cs="Times New Roman"/>
          <w:sz w:val="24"/>
          <w:szCs w:val="24"/>
          <w:lang w:val="en-US"/>
        </w:rPr>
        <w:fldChar w:fldCharType="begin" w:fldLock="1"/>
      </w:r>
      <w:r w:rsidR="003F6C97" w:rsidRPr="00BF3C5D">
        <w:rPr>
          <w:rFonts w:ascii="Times New Roman" w:hAnsi="Times New Roman" w:cs="Times New Roman"/>
          <w:sz w:val="24"/>
          <w:szCs w:val="24"/>
          <w:lang w:val="en-US"/>
        </w:rPr>
        <w:instrText>ADDIN CSL_CITATION {"citationItems":[{"id":"ITEM-1","itemData":{"DOI":"10.2174/1570159X11311030003","ISSN":"1570-159X","PMID":"24179463","abstract":"Similar to clinically used antidepressants, cannabinoids can also regulate anxiety and depressive symptoms. Although the mechanisms of these effects are not completely understood, recent evidence suggests that changes in endocannabinoid system could be involved in some actions of antidepressants. Chronic antidepressant treatment modifies the expression of CB1 receptors and endocannabinoid (EC) content in brain regions related to mood and anxiety control. Moreover, both antidepressant and cannabinoids activate mitogen-activated protein (MAP) kinase and phosphoinositide 3-kinase(PI3-K)/Akt or PKB signaling, intracellular pathways that regulate cell proliferation and neural cell survival. Facilitation of hippocampal neurogenesis is proposed as a common effect of chronic antidepressant treatment. Genetic or pharmacological manipulations of cannabinoid receptors (CB1 and CB2) or enzymes responsible for endocannabinoid-metabolism have also been shown to control proliferation and neurogenesis in the hippocampus. In the present paper we reviewed the studies that have investigated the potential contribution of cannabinoids and neurogenesisto antidepressant effects. Considering the widespread brain distribution of the EC system, a better understanding of this possible interaction could contribute to the development of therapeutic alternatives to mood and anxiety disorders.","author":[{"dropping-particle":"","family":"Fogaça","given":"Manoela Viar","non-dropping-particle":"","parse-names":false,"suffix":""},{"dropping-particle":"","family":"Galve-Roperh","given":"Ismael","non-dropping-particle":"","parse-names":false,"suffix":""},{"dropping-particle":"","family":"Guimarães","given":"Francisco Silveira","non-dropping-particle":"","parse-names":false,"suffix":""},{"dropping-particle":"","family":"Campos","given":"Alline Cristina","non-dropping-particle":"","parse-names":false,"suffix":""}],"container-title":"Current neuropharmacology","id":"ITEM-1","issue":"3","issued":{"date-parts":[["2013"]]},"page":"263-275","publisher":"Bentham Science Publishers","title":"Cannabinoids, Neurogenesis and Antidepressant Drugs: Is there a Link?","type":"article-journal","volume":"11"},"uris":["http://www.mendeley.com/documents/?uuid=ddb9e288-ec5f-3556-92b3-e9762583b01a"]}],"mendeley":{"formattedCitation":"(Fogaça, Galve-Roperh, Guimarães, &amp; Campos, 2013)","plainTextFormattedCitation":"(Fogaça, Galve-Roperh, Guimarães, &amp; Campos, 2013)","previouslyFormattedCitation":"(Fogaça, Galve-Roperh, Guimarães, &amp; Campos, 2013)"},"properties":{"noteIndex":0},"schema":"https://github.com/citation-style-language/schema/raw/master/csl-citation.json"}</w:instrText>
      </w:r>
      <w:r w:rsidRPr="00BF3C5D">
        <w:rPr>
          <w:rFonts w:ascii="Times New Roman" w:hAnsi="Times New Roman" w:cs="Times New Roman"/>
          <w:sz w:val="24"/>
          <w:szCs w:val="24"/>
          <w:lang w:val="en-US"/>
        </w:rPr>
        <w:fldChar w:fldCharType="separate"/>
      </w:r>
      <w:r w:rsidRPr="00BF3C5D">
        <w:rPr>
          <w:rFonts w:ascii="Times New Roman" w:hAnsi="Times New Roman" w:cs="Times New Roman"/>
          <w:noProof/>
          <w:sz w:val="24"/>
          <w:szCs w:val="24"/>
          <w:lang w:val="en-US"/>
        </w:rPr>
        <w:t>(Fogaça</w:t>
      </w:r>
      <w:r w:rsidR="00BC056C">
        <w:rPr>
          <w:rFonts w:ascii="Times New Roman" w:hAnsi="Times New Roman" w:cs="Times New Roman"/>
          <w:noProof/>
          <w:sz w:val="24"/>
          <w:szCs w:val="24"/>
          <w:lang w:val="en-US"/>
        </w:rPr>
        <w:t xml:space="preserve"> et al.</w:t>
      </w:r>
      <w:r w:rsidRPr="00BF3C5D">
        <w:rPr>
          <w:rFonts w:ascii="Times New Roman" w:hAnsi="Times New Roman" w:cs="Times New Roman"/>
          <w:noProof/>
          <w:sz w:val="24"/>
          <w:szCs w:val="24"/>
          <w:lang w:val="en-US"/>
        </w:rPr>
        <w:t>, 2013)</w:t>
      </w:r>
      <w:r w:rsidRPr="00BF3C5D">
        <w:rPr>
          <w:rFonts w:ascii="Times New Roman" w:hAnsi="Times New Roman" w:cs="Times New Roman"/>
          <w:sz w:val="24"/>
          <w:szCs w:val="24"/>
          <w:lang w:val="en-US"/>
        </w:rPr>
        <w:fldChar w:fldCharType="end"/>
      </w:r>
      <w:r w:rsidRPr="00BF3C5D">
        <w:rPr>
          <w:rFonts w:ascii="Times New Roman" w:hAnsi="Times New Roman" w:cs="Times New Roman"/>
          <w:sz w:val="24"/>
          <w:szCs w:val="24"/>
          <w:lang w:val="en-US"/>
        </w:rPr>
        <w:t>. These properties are particularly appealing for the potential treatment of pathogenic dysfunctions caused by cerebral malaria.</w:t>
      </w:r>
    </w:p>
    <w:p w14:paraId="250C31D4" w14:textId="44FD8132" w:rsidR="0087757B" w:rsidRPr="00BF3C5D" w:rsidRDefault="0087757B" w:rsidP="00BF3C5D">
      <w:pPr>
        <w:spacing w:before="120" w:after="120" w:line="360" w:lineRule="auto"/>
        <w:jc w:val="both"/>
        <w:rPr>
          <w:rFonts w:ascii="Times New Roman" w:hAnsi="Times New Roman" w:cs="Times New Roman"/>
          <w:sz w:val="24"/>
          <w:szCs w:val="24"/>
          <w:lang w:val="en-US"/>
        </w:rPr>
      </w:pPr>
      <w:r w:rsidRPr="00BF3C5D">
        <w:rPr>
          <w:rFonts w:ascii="Times New Roman" w:hAnsi="Times New Roman" w:cs="Times New Roman"/>
          <w:sz w:val="24"/>
          <w:szCs w:val="24"/>
          <w:lang w:val="en-US"/>
        </w:rPr>
        <w:t>Moreover, in the last decade, cannabinoids have emerged as putative modulators of the CNS immune neuroprotection, and plastic events as well as behavioral and cognitive functions. Modulation of the ECS has led to beneficial results for several neuro</w:t>
      </w:r>
      <w:r w:rsidR="00BA31F4">
        <w:rPr>
          <w:rFonts w:ascii="Times New Roman" w:hAnsi="Times New Roman" w:cs="Times New Roman"/>
          <w:sz w:val="24"/>
          <w:szCs w:val="24"/>
          <w:lang w:val="en-US"/>
        </w:rPr>
        <w:t>de</w:t>
      </w:r>
      <w:r w:rsidRPr="00BF3C5D">
        <w:rPr>
          <w:rFonts w:ascii="Times New Roman" w:hAnsi="Times New Roman" w:cs="Times New Roman"/>
          <w:sz w:val="24"/>
          <w:szCs w:val="24"/>
          <w:lang w:val="en-US"/>
        </w:rPr>
        <w:t>generative diseases such as Huntington</w:t>
      </w:r>
      <w:r w:rsidR="00361795">
        <w:rPr>
          <w:rFonts w:ascii="Times New Roman" w:hAnsi="Times New Roman" w:cs="Times New Roman"/>
          <w:sz w:val="24"/>
          <w:szCs w:val="24"/>
          <w:lang w:val="en-US"/>
        </w:rPr>
        <w:t>’s</w:t>
      </w:r>
      <w:r w:rsidRPr="00BF3C5D">
        <w:rPr>
          <w:rFonts w:ascii="Times New Roman" w:hAnsi="Times New Roman" w:cs="Times New Roman"/>
          <w:sz w:val="24"/>
          <w:szCs w:val="24"/>
          <w:lang w:val="en-US"/>
        </w:rPr>
        <w:t>, Alzheimer</w:t>
      </w:r>
      <w:r w:rsidR="00361795">
        <w:rPr>
          <w:rFonts w:ascii="Times New Roman" w:hAnsi="Times New Roman" w:cs="Times New Roman"/>
          <w:sz w:val="24"/>
          <w:szCs w:val="24"/>
          <w:lang w:val="en-US"/>
        </w:rPr>
        <w:t>’s</w:t>
      </w:r>
      <w:r w:rsidRPr="00BF3C5D">
        <w:rPr>
          <w:rFonts w:ascii="Times New Roman" w:hAnsi="Times New Roman" w:cs="Times New Roman"/>
          <w:sz w:val="24"/>
          <w:szCs w:val="24"/>
          <w:lang w:val="en-US"/>
        </w:rPr>
        <w:t>, Parkinson</w:t>
      </w:r>
      <w:r w:rsidR="00361795">
        <w:rPr>
          <w:rFonts w:ascii="Times New Roman" w:hAnsi="Times New Roman" w:cs="Times New Roman"/>
          <w:sz w:val="24"/>
          <w:szCs w:val="24"/>
          <w:lang w:val="en-US"/>
        </w:rPr>
        <w:t>’s</w:t>
      </w:r>
      <w:r w:rsidRPr="00BF3C5D">
        <w:rPr>
          <w:rFonts w:ascii="Times New Roman" w:hAnsi="Times New Roman" w:cs="Times New Roman"/>
          <w:sz w:val="24"/>
          <w:szCs w:val="24"/>
          <w:lang w:val="en-US"/>
        </w:rPr>
        <w:t xml:space="preserve">, amyotrophic lateral sclerosis, multiple sclerosis, and hypoxia-ischemia </w:t>
      </w:r>
      <w:r w:rsidRPr="00BF3C5D">
        <w:rPr>
          <w:rFonts w:ascii="Times New Roman" w:hAnsi="Times New Roman" w:cs="Times New Roman"/>
          <w:sz w:val="24"/>
          <w:szCs w:val="24"/>
          <w:lang w:val="en-US"/>
        </w:rPr>
        <w:fldChar w:fldCharType="begin" w:fldLock="1"/>
      </w:r>
      <w:r w:rsidR="003F6C97" w:rsidRPr="00BF3C5D">
        <w:rPr>
          <w:rFonts w:ascii="Times New Roman" w:hAnsi="Times New Roman" w:cs="Times New Roman"/>
          <w:sz w:val="24"/>
          <w:szCs w:val="24"/>
          <w:lang w:val="en-US"/>
        </w:rPr>
        <w:instrText>ADDIN CSL_CITATION {"citationItems":[{"id":"ITEM-1","itemData":{"DOI":"10.1007/978-3-319-20825-1_8","ISBN":"9783319208251","ISSN":"0171-2004","PMID":"26408163","abstract":"This review focuses on the role of the endocannabinoid signaling system in controlling neuronal survival, an extremely important issue to be considered when developing new therapies for neurodegenerative disorders. First, we will describe the cellular and molecular mechanisms, and the signaling pathways, underlying these neuroprotective properties, including the control of glutamate homeostasis, calcium influx, the toxicity of reactive oxygen species, glial activation and other inflammatory events; and the induction of autophagy. We will then concentrate on the preclinical studies and the few clinical trials that have been carried out targeting endocannabinoid signaling in three important chronic progressive neurodegenerative disorders (Parkinson's disease, Huntington's chorea, and Alzheimer's disease), as well as in other less well-studied disorders. We will end by offering some ideas and proposals for future research that should be carried out to optimize endocannabinoid-based treatments for these disorders. Such studies will strengthen the possibility that these therapies will be investigated in the clinical scenario and licensed for their use in specific disorders.","author":[{"dropping-particle":"","family":"Fernández-Ruiz","given":"Javier","non-dropping-particle":"","parse-names":false,"suffix":""},{"dropping-particle":"","family":"Romero","given":"Julián","non-dropping-particle":"","parse-names":false,"suffix":""},{"dropping-particle":"","family":"Ramos","given":"José A","non-dropping-particle":"","parse-names":false,"suffix":""}],"container-title":"Endocannabinoids","id":"ITEM-1","issued":{"date-parts":[["2015"]]},"page":"233-259","title":"Endocannabinoids and neurodegenerative disorders: Parkinson's disease, huntington's chorea, alzheimer's disease, and others","type":"chapter","volume":"231"},"uris":["http://www.mendeley.com/documents/?uuid=9a23a7b1-ce97-35f4-a1ae-80c329c42cfc"]},{"id":"ITEM-2","itemData":{"DOI":"10.1016/j.neuropharm.2012.05.034","ISSN":"00283908","PMID":"22659086","abstract":"Cannabidiol (CBD) demonstrated short-term neuroprotective effects in the immature brain following hypoxia-ischemia (HI). We examined whether CBD neuroprotection is sustained over a prolonged period. Newborn Wistar rats underwent HI injury (10% oxygen for 120 min after left carotid artery electrocoagulation) and then received vehicle (HV, n = 22) or 1 mg/kg CBD (HC, n = 23). Sham animals were similarly treated (SV, n = 16 and SC, n = 16). The extent of brain damage was determined by magnetic resonance imaging, histological evaluation (neuropathological score, 0-5), magnetic resonance spectroscopy and Western blotting. Several neurobehavioral tests (RotaRod, cylinder rear test[CRT],and novel object recognition[NOR]) were carried out 30 days after HI (P37). CBD modulated brain excitotoxicity, oxidative stress and inflammation seven days after HI. We observed that HI led to long-lasting functional impairment, as observed in all neurobehavioral tests at P37, whereas the results of HC animals were similar to those of sham animals (all p  0.05 vs. HV). CBD reduced brain infarct volume by 17% (p  0.05) and lessened the extent of histological damage. No differences were observed between the SV and SC groups in any of the experiments. In conclusion, CBD administration after HI injury to newborn rats led to long-lasting neuroprotection, with the overall effect of promoting greater functional rather than histological recovery. These effects of CBD were not associated with any side effects. These results emphasize the interest in CBD as a neuroprotective agent for neonatal HI.","author":[{"dropping-particle":"","family":"Pazos","given":"M R","non-dropping-particle":"","parse-names":false,"suffix":""},{"dropping-particle":"","family":"Cinquina","given":"V","non-dropping-particle":"","parse-names":false,"suffix":""},{"dropping-particle":"","family":"Gómez","given":"A","non-dropping-particle":"","parse-names":false,"suffix":""},{"dropping-particle":"","family":"Layunta","given":"R","non-dropping-particle":"","parse-names":false,"suffix":""},{"dropping-particle":"","family":"Santos","given":"M","non-dropping-particle":"","parse-names":false,"suffix":""},{"dropping-particle":"","family":"Fernández-Ruiz","given":"J","non-dropping-particle":"","parse-names":false,"suffix":""},{"dropping-particle":"","family":"Martínez-Orgado","given":"José","non-dropping-particle":"","parse-names":false,"suffix":""}],"container-title":"Neuropharmacology","id":"ITEM-2","issue":"5","issued":{"date-parts":[["2012"]]},"page":"776-783","title":"Cannabidiol administration after hypoxia–ischemia to newborn rats reduces long-term brain injury and restores neurobehavioral function","type":"article-journal","volume":"63"},"uris":["http://www.mendeley.com/documents/?uuid=64edc06b-4239-3b02-8d8d-1cc5084b91e2"]}],"mendeley":{"formattedCitation":"(Fernández-Ruiz, Romero, &amp; Ramos, 2015; Pazos et al., 2012)","plainTextFormattedCitation":"(Fernández-Ruiz, Romero, &amp; Ramos, 2015; Pazos et al., 2012)","previouslyFormattedCitation":"(Fernández-Ruiz, Romero, &amp; Ramos, 2015; Pazos et al., 2012)"},"properties":{"noteIndex":0},"schema":"https://github.com/citation-style-language/schema/raw/master/csl-citation.json"}</w:instrText>
      </w:r>
      <w:r w:rsidRPr="00BF3C5D">
        <w:rPr>
          <w:rFonts w:ascii="Times New Roman" w:hAnsi="Times New Roman" w:cs="Times New Roman"/>
          <w:sz w:val="24"/>
          <w:szCs w:val="24"/>
          <w:lang w:val="en-US"/>
        </w:rPr>
        <w:fldChar w:fldCharType="separate"/>
      </w:r>
      <w:r w:rsidRPr="00BF3C5D">
        <w:rPr>
          <w:rFonts w:ascii="Times New Roman" w:hAnsi="Times New Roman" w:cs="Times New Roman"/>
          <w:noProof/>
          <w:sz w:val="24"/>
          <w:szCs w:val="24"/>
          <w:lang w:val="en-US"/>
        </w:rPr>
        <w:t>(Fernández-Ruiz</w:t>
      </w:r>
      <w:r w:rsidR="002F2F92">
        <w:rPr>
          <w:rFonts w:ascii="Times New Roman" w:hAnsi="Times New Roman" w:cs="Times New Roman"/>
          <w:noProof/>
          <w:sz w:val="24"/>
          <w:szCs w:val="24"/>
          <w:lang w:val="en-US"/>
        </w:rPr>
        <w:t xml:space="preserve"> et al.</w:t>
      </w:r>
      <w:r w:rsidRPr="00BF3C5D">
        <w:rPr>
          <w:rFonts w:ascii="Times New Roman" w:hAnsi="Times New Roman" w:cs="Times New Roman"/>
          <w:noProof/>
          <w:sz w:val="24"/>
          <w:szCs w:val="24"/>
          <w:lang w:val="en-US"/>
        </w:rPr>
        <w:t>,</w:t>
      </w:r>
      <w:r w:rsidR="002F2F92">
        <w:rPr>
          <w:rFonts w:ascii="Times New Roman" w:hAnsi="Times New Roman" w:cs="Times New Roman"/>
          <w:noProof/>
          <w:sz w:val="24"/>
          <w:szCs w:val="24"/>
          <w:lang w:val="en-US"/>
        </w:rPr>
        <w:t xml:space="preserve"> </w:t>
      </w:r>
      <w:r w:rsidRPr="00BF3C5D">
        <w:rPr>
          <w:rFonts w:ascii="Times New Roman" w:hAnsi="Times New Roman" w:cs="Times New Roman"/>
          <w:noProof/>
          <w:sz w:val="24"/>
          <w:szCs w:val="24"/>
          <w:lang w:val="en-US"/>
        </w:rPr>
        <w:t>2015; Pazos et al., 2012)</w:t>
      </w:r>
      <w:r w:rsidRPr="00BF3C5D">
        <w:rPr>
          <w:rFonts w:ascii="Times New Roman" w:hAnsi="Times New Roman" w:cs="Times New Roman"/>
          <w:sz w:val="24"/>
          <w:szCs w:val="24"/>
          <w:lang w:val="en-US"/>
        </w:rPr>
        <w:fldChar w:fldCharType="end"/>
      </w:r>
      <w:r w:rsidRPr="00BF3C5D">
        <w:rPr>
          <w:rFonts w:ascii="Times New Roman" w:hAnsi="Times New Roman" w:cs="Times New Roman"/>
          <w:sz w:val="24"/>
          <w:szCs w:val="24"/>
          <w:lang w:val="en-US"/>
        </w:rPr>
        <w:t xml:space="preserve">. Regarding CM, some reports have been published highlighting the therapeutic potential of cannabinoids and other modulators of the ECS in CM </w:t>
      </w:r>
      <w:r w:rsidRPr="00BF3C5D">
        <w:rPr>
          <w:rFonts w:ascii="Times New Roman" w:hAnsi="Times New Roman" w:cs="Times New Roman"/>
          <w:sz w:val="24"/>
          <w:szCs w:val="24"/>
          <w:lang w:val="en-US"/>
        </w:rPr>
        <w:fldChar w:fldCharType="begin" w:fldLock="1"/>
      </w:r>
      <w:r w:rsidR="003F6C97" w:rsidRPr="00BF3C5D">
        <w:rPr>
          <w:rFonts w:ascii="Times New Roman" w:hAnsi="Times New Roman" w:cs="Times New Roman"/>
          <w:sz w:val="24"/>
          <w:szCs w:val="24"/>
          <w:lang w:val="en-US"/>
        </w:rPr>
        <w:instrText>ADDIN CSL_CITATION {"citationItems":[{"id":"ITEM-1","itemData":{"DOI":"10.1074/jbc.M116.746594","ISBN":"0021-9258","ISSN":"1083351X","PMID":"27474745","abstract":"Cerebral malaria (CM) is a severe and often fatal complication of Plasmodium falciparum infection. It is characterized by parasite sequestration, a breakdown of the blood-brain-barrier and a strong inflammation in the brain. We investigated the role of the cannabinoid receptor 2 (CB2), an important modulator of neuroinflammatory responses, in experimental cerebral malaria (ECM). Strikingly, mice with a deletion of the CB2-encoding gene (Cnr2(-/-)) mice inoculated with Plasmodium berghei ANKA-erythrocytes exhibited enhanced survival and a diminished blood-brain-barrier disruption. Therapeutic application of a specific CB2 antagonist also conferred increased ECM resistance in wild type mice. Hematopoietic-derived immune cells were responsible for the enhanced protection in bone-marrow-chimeric (BM)-Cnr2(-/-) mice. Mixed BM-chimeras further revealed that CB2-expressing cells contributed to ECM development. A heterogeneous CD11b(+) cell population, containing macrophages and neutrophils, expanded in the Cnr2(-/-) spleen after infection and expressed macrophage mannose receptors, arginase-1 activity and IL-10. Also in the Cnr2(-/-) brain CD11b(+) cells that expressed selected anti-inflammatory markers accumulated and expression of inflammatory mediators IFN-γ and TNF-α was reduced. Finally, the M2-macrophage chemokine CCL17 was identified as essential factor for enhanced survival in the absence of CB2, since CCL17 x Cnr2 double-deficient mice were fully susceptible to ECM. Thus, targeting CB2 may be promising for the development of alternative treatment regimes of ECM.","author":[{"dropping-particle":"","family":"Alferink","given":"Judith","non-dropping-particle":"","parse-names":false,"suffix":""},{"dropping-particle":"","family":"Specht","given":"Sabine","non-dropping-particle":"","parse-names":false,"suffix":""},{"dropping-particle":"","family":"Arends","given":"Hannah","non-dropping-particle":"","parse-names":false,"suffix":""},{"dropping-particle":"","family":"Schumak","given":"Beatrix","non-dropping-particle":"","parse-names":false,"suffix":""},{"dropping-particle":"","family":"Schmidt","given":"Kim","non-dropping-particle":"","parse-names":false,"suffix":""},{"dropping-particle":"","family":"Ruland","given":"Christina","non-dropping-particle":"","parse-names":false,"suffix":""},{"dropping-particle":"","family":"Lundt","given":"Ramona","non-dropping-particle":"","parse-names":false,"suffix":""},{"dropping-particle":"","family":"Kemter","given":"Andrea","non-dropping-particle":"","parse-names":false,"suffix":""},{"dropping-particle":"","family":"Dlugos","given":"Andrea","non-dropping-particle":"","parse-names":false,"suffix":""},{"dropping-particle":"","family":"Kuepper","given":"Janina M","non-dropping-particle":"","parse-names":false,"suffix":""},{"dropping-particle":"","family":"Poppensieker","given":"Karola","non-dropping-particle":"","parse-names":false,"suffix":""},{"dropping-particle":"","family":"Findeiss","given":"Matthias","non-dropping-particle":"","parse-names":false,"suffix":""},{"dropping-particle":"","family":"Albayram","given":"Nder","non-dropping-particle":"","parse-names":false,"suffix":""},{"dropping-particle":"","family":"Otte","given":"David M","non-dropping-particle":"","parse-names":false,"suffix":""},{"dropping-particle":"","family":"Marazzi","given":"Janine","non-dropping-particle":"","parse-names":false,"suffix":""},{"dropping-particle":"","family":"Gertsch","given":"Jürg","non-dropping-particle":"","parse-names":false,"suffix":""},{"dropping-particle":"","family":"Förster","given":"Irmgard","non-dropping-particle":"","parse-names":false,"suffix":""},{"dropping-particle":"","family":"Maier","given":"Wolfgang","non-dropping-particle":"","parse-names":false,"suffix":""},{"dropping-particle":"","family":"Scheu","given":"Stefanie","non-dropping-particle":"","parse-names":false,"suffix":""},{"dropping-particle":"","family":"Hoerauf","given":"Achim","non-dropping-particle":"","parse-names":false,"suffix":""},{"dropping-particle":"","family":"Zimmer","given":"Andreas","non-dropping-particle":"","parse-names":false,"suffix":""}],"container-title":"Journal of Biological Chemistry","id":"ITEM-1","issue":"37","issued":{"date-parts":[["2016"]]},"page":"19517-19531","title":"Cannabinoid receptor 2 modulates susceptibility to experimental cerebral malaria through a CCL17-dependent Mechanism","type":"article-journal","volume":"291"},"uris":["http://www.mendeley.com/documents/?uuid=30adfc34-bd73-3837-9100-641dab63a795"]},{"id":"ITEM-2","itemData":{"DOI":"10.1016/j.neuroscience.2014.12.051","ISSN":"03064522","PMID":"25595981","abstract":"Cerebral malaria (CM) is a severe complication resulting from Plasmodium falciparum infection that might cause permanent neurological deficits. Cannabidiol (CBD) is a nonpsychotomimetic compound of Cannabis sativa with neuroprotective properties. In the present work, we evaluated the effects of CBD in a murine model of CM. Female mice were infected with Plasmodium berghei ANKA (PbA) and treated with CBD (30mg/kg/day - 3 or 7days i.p.) or vehicle. On 5th day-post-infection (dpi), at the peak of the disease), animals were treated with single or repeated doses of Artesunate, an antimalarial drug. All groups were tested for memory impairment (Novel Object Recognition or Morris Water Maze) and anxiety-like behaviors (Open field or elevated plus maze test) in different stages of the disease (at the peak or after the complete clearance of the disease). Th1/Th2 cytokines and neurotrophins (brain-derived neurotrophic factor (BDNF) and nerve growth factor (NGF)) were measured in the prefrontal cortex and hippocampus of experimental groups. PbA-infected mice displayed memory deficits and exhibited increase in anxiety-like behaviors on the 5dpi or after the clearance of the parasitemia, effects prevented by CBD treatment. On 5dpi, TNF-α and IL-6 increased in the hippocampus, while only IL-6 increased in the prefrontal cortex. CBD treatment resulted in an increase in BDNF expression in the hippocampus and decreased levels of proinflammatory cytokines in the hippocampus (TNF-α) and prefrontal cortex (IL-6). Our results indicate that CBD exhibits neuroprotective effects in CM model and might be useful as an adjunctive therapy to prevent neurological symptoms following this disease.","author":[{"dropping-particle":"","family":"Campos","given":"A C","non-dropping-particle":"","parse-names":false,"suffix":""},{"dropping-particle":"","family":"Brant","given":"F","non-dropping-particle":"","parse-names":false,"suffix":""},{"dropping-particle":"","family":"Miranda","given":"A S","non-dropping-particle":"","parse-names":false,"suffix":""},{"dropping-particle":"","family":"Machado","given":"F S","non-dropping-particle":"","parse-names":false,"suffix":""},{"dropping-particle":"","family":"Teixeira","given":"A L","non-dropping-particle":"","parse-names":false,"suffix":""}],"container-title":"Neuroscience","id":"ITEM-2","issued":{"date-parts":[["2015"]]},"page":"166-180","title":"Cannabidiol increases survival and promotes rescue of cognitive function in a murine model of cerebral malaria","type":"article-journal","volume":"289"},"uris":["http://www.mendeley.com/documents/?uuid=1a3239aa-5429-3e4f-83f0-6cc0c0b0b634"]}],"mendeley":{"formattedCitation":"(Alferink et al., 2016; Campos, Brant, Miranda, Machado, &amp; Teixeira, 2015)","plainTextFormattedCitation":"(Alferink et al., 2016; Campos, Brant, Miranda, Machado, &amp; Teixeira, 2015)","previouslyFormattedCitation":"(Alferink et al., 2016; Campos, Brant, Miranda, Machado, &amp; Teixeira, 2015)"},"properties":{"noteIndex":0},"schema":"https://github.com/citation-style-language/schema/raw/master/csl-citation.json"}</w:instrText>
      </w:r>
      <w:r w:rsidRPr="00BF3C5D">
        <w:rPr>
          <w:rFonts w:ascii="Times New Roman" w:hAnsi="Times New Roman" w:cs="Times New Roman"/>
          <w:sz w:val="24"/>
          <w:szCs w:val="24"/>
          <w:lang w:val="en-US"/>
        </w:rPr>
        <w:fldChar w:fldCharType="separate"/>
      </w:r>
      <w:r w:rsidRPr="00BF3C5D">
        <w:rPr>
          <w:rFonts w:ascii="Times New Roman" w:hAnsi="Times New Roman" w:cs="Times New Roman"/>
          <w:noProof/>
          <w:sz w:val="24"/>
          <w:szCs w:val="24"/>
          <w:lang w:val="en-US"/>
        </w:rPr>
        <w:t>(Alferink et al., 2016; Campos</w:t>
      </w:r>
      <w:r w:rsidR="002F2F92">
        <w:rPr>
          <w:rFonts w:ascii="Times New Roman" w:hAnsi="Times New Roman" w:cs="Times New Roman"/>
          <w:noProof/>
          <w:sz w:val="24"/>
          <w:szCs w:val="24"/>
          <w:lang w:val="en-US"/>
        </w:rPr>
        <w:t xml:space="preserve"> et al., </w:t>
      </w:r>
      <w:r w:rsidRPr="00BF3C5D">
        <w:rPr>
          <w:rFonts w:ascii="Times New Roman" w:hAnsi="Times New Roman" w:cs="Times New Roman"/>
          <w:noProof/>
          <w:sz w:val="24"/>
          <w:szCs w:val="24"/>
          <w:lang w:val="en-US"/>
        </w:rPr>
        <w:t>2015)</w:t>
      </w:r>
      <w:r w:rsidRPr="00BF3C5D">
        <w:rPr>
          <w:rFonts w:ascii="Times New Roman" w:hAnsi="Times New Roman" w:cs="Times New Roman"/>
          <w:sz w:val="24"/>
          <w:szCs w:val="24"/>
          <w:lang w:val="en-US"/>
        </w:rPr>
        <w:fldChar w:fldCharType="end"/>
      </w:r>
      <w:r w:rsidRPr="00BF3C5D">
        <w:rPr>
          <w:rFonts w:ascii="Times New Roman" w:hAnsi="Times New Roman" w:cs="Times New Roman"/>
          <w:sz w:val="24"/>
          <w:szCs w:val="24"/>
          <w:lang w:val="en-US"/>
        </w:rPr>
        <w:t>. Particularly, the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 has been proposed as an important modulator of susceptibility in experimental cerebral malaria (ECM). Mice with a deletion of the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encoding gene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vertAlign w:val="superscript"/>
          <w:lang w:val="en-US"/>
        </w:rPr>
        <w:t>-/-</w:t>
      </w:r>
      <w:r w:rsidRPr="00BF3C5D">
        <w:rPr>
          <w:rFonts w:ascii="Times New Roman" w:hAnsi="Times New Roman" w:cs="Times New Roman"/>
          <w:sz w:val="24"/>
          <w:szCs w:val="24"/>
          <w:lang w:val="en-US"/>
        </w:rPr>
        <w:t xml:space="preserve">) inoculated with </w:t>
      </w:r>
      <w:r w:rsidRPr="00BF3C5D">
        <w:rPr>
          <w:rFonts w:ascii="Times New Roman" w:hAnsi="Times New Roman" w:cs="Times New Roman"/>
          <w:i/>
          <w:sz w:val="24"/>
          <w:szCs w:val="24"/>
          <w:lang w:val="en-US"/>
        </w:rPr>
        <w:t xml:space="preserve">P. berghei </w:t>
      </w:r>
      <w:r w:rsidRPr="00BF3C5D">
        <w:rPr>
          <w:rFonts w:ascii="Times New Roman" w:hAnsi="Times New Roman" w:cs="Times New Roman"/>
          <w:sz w:val="24"/>
          <w:szCs w:val="24"/>
          <w:lang w:val="en-US"/>
        </w:rPr>
        <w:t>ANKA erythrocytes exhibited a longer survival and a diminished blood-</w:t>
      </w:r>
      <w:commentRangeStart w:id="2"/>
      <w:r w:rsidRPr="00BF3C5D">
        <w:rPr>
          <w:rFonts w:ascii="Times New Roman" w:hAnsi="Times New Roman" w:cs="Times New Roman"/>
          <w:sz w:val="24"/>
          <w:szCs w:val="24"/>
          <w:lang w:val="en-US"/>
        </w:rPr>
        <w:t xml:space="preserve">barrier </w:t>
      </w:r>
      <w:commentRangeEnd w:id="2"/>
      <w:r w:rsidR="00BA31F4">
        <w:rPr>
          <w:rStyle w:val="CommentReference"/>
        </w:rPr>
        <w:commentReference w:id="2"/>
      </w:r>
      <w:r w:rsidRPr="00BF3C5D">
        <w:rPr>
          <w:rFonts w:ascii="Times New Roman" w:hAnsi="Times New Roman" w:cs="Times New Roman"/>
          <w:sz w:val="24"/>
          <w:szCs w:val="24"/>
          <w:lang w:val="en-US"/>
        </w:rPr>
        <w:t>disruption. Moreover, treatments in wildtype mice with a specific CB</w:t>
      </w:r>
      <w:r w:rsidRPr="00BF3C5D">
        <w:rPr>
          <w:rFonts w:ascii="Times New Roman" w:hAnsi="Times New Roman" w:cs="Times New Roman"/>
          <w:sz w:val="24"/>
          <w:szCs w:val="24"/>
          <w:vertAlign w:val="subscript"/>
          <w:lang w:val="en-US"/>
        </w:rPr>
        <w:t xml:space="preserve">2 </w:t>
      </w:r>
      <w:r w:rsidRPr="00BF3C5D">
        <w:rPr>
          <w:rFonts w:ascii="Times New Roman" w:hAnsi="Times New Roman" w:cs="Times New Roman"/>
          <w:sz w:val="24"/>
          <w:szCs w:val="24"/>
          <w:lang w:val="en-US"/>
        </w:rPr>
        <w:t xml:space="preserve">antagonist also seem to confer increased ECM resistance, whereas the same happened with the </w:t>
      </w:r>
      <w:proofErr w:type="spellStart"/>
      <w:r w:rsidRPr="00BF3C5D">
        <w:rPr>
          <w:rFonts w:ascii="Times New Roman" w:hAnsi="Times New Roman" w:cs="Times New Roman"/>
          <w:sz w:val="24"/>
          <w:szCs w:val="24"/>
          <w:lang w:val="en-US"/>
        </w:rPr>
        <w:t>phytocannabinoid</w:t>
      </w:r>
      <w:proofErr w:type="spellEnd"/>
      <w:r w:rsidRPr="00BF3C5D">
        <w:rPr>
          <w:rFonts w:ascii="Times New Roman" w:hAnsi="Times New Roman" w:cs="Times New Roman"/>
          <w:sz w:val="24"/>
          <w:szCs w:val="24"/>
          <w:lang w:val="en-US"/>
        </w:rPr>
        <w:t xml:space="preserve"> cannabidiol (CBD) </w:t>
      </w:r>
      <w:r w:rsidRPr="00BF3C5D">
        <w:rPr>
          <w:rFonts w:ascii="Times New Roman" w:hAnsi="Times New Roman" w:cs="Times New Roman"/>
          <w:sz w:val="24"/>
          <w:szCs w:val="24"/>
          <w:lang w:val="en-US"/>
        </w:rPr>
        <w:fldChar w:fldCharType="begin" w:fldLock="1"/>
      </w:r>
      <w:r w:rsidR="003F6C97" w:rsidRPr="00BF3C5D">
        <w:rPr>
          <w:rFonts w:ascii="Times New Roman" w:hAnsi="Times New Roman" w:cs="Times New Roman"/>
          <w:sz w:val="24"/>
          <w:szCs w:val="24"/>
          <w:lang w:val="en-US"/>
        </w:rPr>
        <w:instrText>ADDIN CSL_CITATION {"citationItems":[{"id":"ITEM-1","itemData":{"DOI":"10.1016/j.neuroscience.2014.12.051","ISSN":"03064522","PMID":"25595981","abstract":"Cerebral malaria (CM) is a severe complication resulting from Plasmodium falciparum infection that might cause permanent neurological deficits. Cannabidiol (CBD) is a nonpsychotomimetic compound of Cannabis sativa with neuroprotective properties. In the present work, we evaluated the effects of CBD in a murine model of CM. Female mice were infected with Plasmodium berghei ANKA (PbA) and treated with CBD (30mg/kg/day - 3 or 7days i.p.) or vehicle. On 5th day-post-infection (dpi), at the peak of the disease), animals were treated with single or repeated doses of Artesunate, an antimalarial drug. All groups were tested for memory impairment (Novel Object Recognition or Morris Water Maze) and anxiety-like behaviors (Open field or elevated plus maze test) in different stages of the disease (at the peak or after the complete clearance of the disease). Th1/Th2 cytokines and neurotrophins (brain-derived neurotrophic factor (BDNF) and nerve growth factor (NGF)) were measured in the prefrontal cortex and hippocampus of experimental groups. PbA-infected mice displayed memory deficits and exhibited increase in anxiety-like behaviors on the 5dpi or after the clearance of the parasitemia, effects prevented by CBD treatment. On 5dpi, TNF-α and IL-6 increased in the hippocampus, while only IL-6 increased in the prefrontal cortex. CBD treatment resulted in an increase in BDNF expression in the hippocampus and decreased levels of proinflammatory cytokines in the hippocampus (TNF-α) and prefrontal cortex (IL-6). Our results indicate that CBD exhibits neuroprotective effects in CM model and might be useful as an adjunctive therapy to prevent neurological symptoms following this disease.","author":[{"dropping-particle":"","family":"Campos","given":"A C","non-dropping-particle":"","parse-names":false,"suffix":""},{"dropping-particle":"","family":"Brant","given":"F","non-dropping-particle":"","parse-names":false,"suffix":""},{"dropping-particle":"","family":"Miranda","given":"A S","non-dropping-particle":"","parse-names":false,"suffix":""},{"dropping-particle":"","family":"Machado","given":"F S","non-dropping-particle":"","parse-names":false,"suffix":""},{"dropping-particle":"","family":"Teixeira","given":"A L","non-dropping-particle":"","parse-names":false,"suffix":""}],"container-title":"Neuroscience","id":"ITEM-1","issued":{"date-parts":[["2015"]]},"page":"166-180","title":"Cannabidiol increases survival and promotes rescue of cognitive function in a murine model of cerebral malaria","type":"article-journal","volume":"289"},"uris":["http://www.mendeley.com/documents/?uuid=1a3239aa-5429-3e4f-83f0-6cc0c0b0b634"]}],"mendeley":{"formattedCitation":"(Campos et al., 2015)","plainTextFormattedCitation":"(Campos et al., 2015)","previouslyFormattedCitation":"(Campos et al., 2015)"},"properties":{"noteIndex":0},"schema":"https://github.com/citation-style-language/schema/raw/master/csl-citation.json"}</w:instrText>
      </w:r>
      <w:r w:rsidRPr="00BF3C5D">
        <w:rPr>
          <w:rFonts w:ascii="Times New Roman" w:hAnsi="Times New Roman" w:cs="Times New Roman"/>
          <w:sz w:val="24"/>
          <w:szCs w:val="24"/>
          <w:lang w:val="en-US"/>
        </w:rPr>
        <w:fldChar w:fldCharType="separate"/>
      </w:r>
      <w:r w:rsidRPr="00BF3C5D">
        <w:rPr>
          <w:rFonts w:ascii="Times New Roman" w:hAnsi="Times New Roman" w:cs="Times New Roman"/>
          <w:noProof/>
          <w:sz w:val="24"/>
          <w:szCs w:val="24"/>
          <w:lang w:val="en-US"/>
        </w:rPr>
        <w:t>(Campos et al., 2015)</w:t>
      </w:r>
      <w:r w:rsidRPr="00BF3C5D">
        <w:rPr>
          <w:rFonts w:ascii="Times New Roman" w:hAnsi="Times New Roman" w:cs="Times New Roman"/>
          <w:sz w:val="24"/>
          <w:szCs w:val="24"/>
          <w:lang w:val="en-US"/>
        </w:rPr>
        <w:fldChar w:fldCharType="end"/>
      </w:r>
      <w:r w:rsidRPr="00BF3C5D">
        <w:rPr>
          <w:rFonts w:ascii="Times New Roman" w:hAnsi="Times New Roman" w:cs="Times New Roman"/>
          <w:sz w:val="24"/>
          <w:szCs w:val="24"/>
          <w:lang w:val="en-US"/>
        </w:rPr>
        <w:t>, which may act, among other</w:t>
      </w:r>
      <w:r w:rsidR="00BA31F4">
        <w:rPr>
          <w:rFonts w:ascii="Times New Roman" w:hAnsi="Times New Roman" w:cs="Times New Roman"/>
          <w:sz w:val="24"/>
          <w:szCs w:val="24"/>
          <w:lang w:val="en-US"/>
        </w:rPr>
        <w:t xml:space="preserve"> things</w:t>
      </w:r>
      <w:r w:rsidRPr="00BF3C5D">
        <w:rPr>
          <w:rFonts w:ascii="Times New Roman" w:hAnsi="Times New Roman" w:cs="Times New Roman"/>
          <w:sz w:val="24"/>
          <w:szCs w:val="24"/>
          <w:lang w:val="en-US"/>
        </w:rPr>
        <w:t>, as a negative allosteric modulator for the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 </w:t>
      </w:r>
      <w:r w:rsidRPr="00BF3C5D">
        <w:rPr>
          <w:rFonts w:ascii="Times New Roman" w:hAnsi="Times New Roman" w:cs="Times New Roman"/>
          <w:sz w:val="24"/>
          <w:szCs w:val="24"/>
          <w:lang w:val="en-US"/>
        </w:rPr>
        <w:fldChar w:fldCharType="begin" w:fldLock="1"/>
      </w:r>
      <w:r w:rsidR="003F6C97" w:rsidRPr="00BF3C5D">
        <w:rPr>
          <w:rFonts w:ascii="Times New Roman" w:hAnsi="Times New Roman" w:cs="Times New Roman"/>
          <w:sz w:val="24"/>
          <w:szCs w:val="24"/>
          <w:lang w:val="en-US"/>
        </w:rPr>
        <w:instrText>ADDIN CSL_CITATION {"citationItems":[{"id":"ITEM-1","itemData":{"DOI":"10.3389/fphar.2017.00744","author":[{"dropping-particle":"","family":"Martínez-pinilla","given":"Eva","non-dropping-particle":"","parse-names":false,"suffix":""},{"dropping-particle":"","family":"Varani","given":"Katia","non-dropping-particle":"","parse-names":false,"suffix":""},{"dropping-particle":"","family":"Reyes-resina","given":"Irene","non-dropping-particle":"","parse-names":false,"suffix":""},{"dropping-particle":"","family":"Angelats","given":"Edgar","non-dropping-particle":"","parse-names":false,"suffix":""},{"dropping-particle":"","family":"Vincenzi","given":"Fabrizio","non-dropping-particle":"","parse-names":false,"suffix":""},{"dropping-particle":"","family":"Ferreiro-vera","given":"Carlos","non-dropping-particle":"","parse-names":false,"suffix":""},{"dropping-particle":"","family":"Oyarzabal","given":"Julen","non-dropping-particle":"","parse-names":false,"suffix":""},{"dropping-particle":"","family":"Canela","given":"Enric I","non-dropping-particle":"","parse-names":false,"suffix":""},{"dropping-particle":"","family":"Lanciego","given":"José L","non-dropping-particle":"","parse-names":false,"suffix":""},{"dropping-particle":"","family":"Nadal","given":"Xavier","non-dropping-particle":"","parse-names":false,"suffix":""},{"dropping-particle":"","family":"Navarro","given":"Gemma","non-dropping-particle":"","parse-names":false,"suffix":""},{"dropping-particle":"","family":"Borea","given":"Pier Andrea","non-dropping-particle":"","parse-names":false,"suffix":""},{"dropping-particle":"","family":"Franco","given":"Rafael","non-dropping-particle":"","parse-names":false,"suffix":""},{"dropping-particle":"","family":"Lane","given":"J Robert David","non-dropping-particle":"","parse-names":false,"suffix":""},{"dropping-particle":"","family":"Martínez-pinilla","given":"Eva","non-dropping-particle":"","parse-names":false,"suffix":""}],"id":"ITEM-1","issue":"October","issued":{"date-parts":[["2017"]]},"page":"1-10","title":"Binding and Signaling Studies Disclose a Potential Allosteric Site for Cannabidiol in Cannabinoid CB 2 Receptors","type":"article-journal","volume":"8"},"uris":["http://www.mendeley.com/documents/?uuid=c4a7f598-28a5-4aac-adce-813167a8afa9"]}],"mendeley":{"formattedCitation":"(Martínez-pinilla et al., 2017)","plainTextFormattedCitation":"(Martínez-pinilla et al., 2017)","previouslyFormattedCitation":"(Martínez-pinilla et al., 2017)"},"properties":{"noteIndex":0},"schema":"https://github.com/citation-style-language/schema/raw/master/csl-citation.json"}</w:instrText>
      </w:r>
      <w:r w:rsidRPr="00BF3C5D">
        <w:rPr>
          <w:rFonts w:ascii="Times New Roman" w:hAnsi="Times New Roman" w:cs="Times New Roman"/>
          <w:sz w:val="24"/>
          <w:szCs w:val="24"/>
          <w:lang w:val="en-US"/>
        </w:rPr>
        <w:fldChar w:fldCharType="separate"/>
      </w:r>
      <w:r w:rsidRPr="00BF3C5D">
        <w:rPr>
          <w:rFonts w:ascii="Times New Roman" w:hAnsi="Times New Roman" w:cs="Times New Roman"/>
          <w:noProof/>
          <w:sz w:val="24"/>
          <w:szCs w:val="24"/>
          <w:lang w:val="en-US"/>
        </w:rPr>
        <w:t>(Martínez-pinilla et al., 2017)</w:t>
      </w:r>
      <w:r w:rsidRPr="00BF3C5D">
        <w:rPr>
          <w:rFonts w:ascii="Times New Roman" w:hAnsi="Times New Roman" w:cs="Times New Roman"/>
          <w:sz w:val="24"/>
          <w:szCs w:val="24"/>
          <w:lang w:val="en-US"/>
        </w:rPr>
        <w:fldChar w:fldCharType="end"/>
      </w:r>
      <w:r w:rsidRPr="00BF3C5D">
        <w:rPr>
          <w:rFonts w:ascii="Times New Roman" w:hAnsi="Times New Roman" w:cs="Times New Roman"/>
          <w:sz w:val="24"/>
          <w:szCs w:val="24"/>
          <w:lang w:val="en-US"/>
        </w:rPr>
        <w:t>. Thus,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might be a promising therapeutic target to fight CM. More precisely, targeting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through selective antagonists could lead to an increased resistance to the development of this neurological complication.</w:t>
      </w:r>
    </w:p>
    <w:p w14:paraId="5FE04FC1" w14:textId="77777777" w:rsidR="0087757B" w:rsidRPr="00BF3C5D" w:rsidRDefault="0087757B" w:rsidP="00BF3C5D">
      <w:pPr>
        <w:pStyle w:val="Heading1"/>
        <w:rPr>
          <w:lang w:val="en-US"/>
        </w:rPr>
      </w:pPr>
      <w:r w:rsidRPr="00BF3C5D">
        <w:rPr>
          <w:lang w:val="en-US"/>
        </w:rPr>
        <w:t>METHOD SECTION</w:t>
      </w:r>
    </w:p>
    <w:p w14:paraId="3B6092BA" w14:textId="04F6DC93" w:rsidR="0087757B" w:rsidRPr="00BF3C5D" w:rsidRDefault="0087757B" w:rsidP="00BF3C5D">
      <w:pPr>
        <w:tabs>
          <w:tab w:val="left" w:pos="2135"/>
        </w:tabs>
        <w:spacing w:before="120" w:after="120" w:line="360" w:lineRule="auto"/>
        <w:jc w:val="both"/>
        <w:rPr>
          <w:rFonts w:ascii="Times New Roman" w:hAnsi="Times New Roman" w:cs="Times New Roman"/>
          <w:sz w:val="24"/>
          <w:szCs w:val="24"/>
          <w:lang w:val="en-US"/>
        </w:rPr>
      </w:pPr>
      <w:r w:rsidRPr="00BF3C5D">
        <w:rPr>
          <w:rFonts w:ascii="Times New Roman" w:hAnsi="Times New Roman" w:cs="Times New Roman"/>
          <w:sz w:val="24"/>
          <w:szCs w:val="24"/>
          <w:lang w:val="en-US"/>
        </w:rPr>
        <w:t>Considering the previous background, selective CB</w:t>
      </w:r>
      <w:r w:rsidRPr="00BF3C5D">
        <w:rPr>
          <w:rFonts w:ascii="Times New Roman" w:hAnsi="Times New Roman" w:cs="Times New Roman"/>
          <w:sz w:val="24"/>
          <w:szCs w:val="24"/>
          <w:vertAlign w:val="subscript"/>
          <w:lang w:val="en-US"/>
        </w:rPr>
        <w:t xml:space="preserve">2 </w:t>
      </w:r>
      <w:r w:rsidRPr="00BF3C5D">
        <w:rPr>
          <w:rFonts w:ascii="Times New Roman" w:hAnsi="Times New Roman" w:cs="Times New Roman"/>
          <w:sz w:val="24"/>
          <w:szCs w:val="24"/>
          <w:lang w:val="en-US"/>
        </w:rPr>
        <w:t>receptor antagonists may have therapeutic potential in CM, and the objective of this study has been to further explore this potential. In this context, we confirmed first the pharmacodynamic profile of SR144528 as a selective ligand with antagonist activity at the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 </w:t>
      </w:r>
      <w:r w:rsidRPr="00562846">
        <w:rPr>
          <w:rFonts w:ascii="Times New Roman" w:hAnsi="Times New Roman" w:cs="Times New Roman"/>
          <w:color w:val="000000" w:themeColor="text1"/>
          <w:sz w:val="24"/>
          <w:szCs w:val="24"/>
          <w:lang w:val="en-US"/>
        </w:rPr>
        <w:fldChar w:fldCharType="begin" w:fldLock="1"/>
      </w:r>
      <w:r w:rsidR="003F6C97" w:rsidRPr="00562846">
        <w:rPr>
          <w:rFonts w:ascii="Times New Roman" w:hAnsi="Times New Roman" w:cs="Times New Roman"/>
          <w:color w:val="000000" w:themeColor="text1"/>
          <w:sz w:val="24"/>
          <w:szCs w:val="24"/>
          <w:lang w:val="en-US"/>
        </w:rPr>
        <w:instrText>ADDIN CSL_CITATION {"citationItems":[{"id":"ITEM-1","itemData":{"PMID":"9918562","author":[{"dropping-particle":"","family":"Portier","given":"M","non-dropping-particle":"","parse-names":false,"suffix":""},{"dropping-particle":"","family":"Rinaldi-Carmona","given":"M","non-dropping-particle":"","parse-names":false,"suffix":""},{"dropping-particle":"","family":"Pecceu","given":"F","non-dropping-particle":"","parse-names":false,"suffix":""},{"dropping-particle":"","family":"Combes","given":"T","non-dropping-particle":"","parse-names":false,"suffix":""},{"dropping-particle":"","family":"Poinoit-Chazel","given":"C","non-dropping-particle":"","parse-names":false,"suffix":""},{"dropping-particle":"","family":"Calandra","given":"B","non-dropping-particle":"","parse-names":false,"suffix":""},{"dropping-particle":"","family":"Barth","given":"F","non-dropping-particle":"","parse-names":false,"suffix":""},{"dropping-particle":"","family":"Fur","given":"G","non-dropping-particle":"Le","parse-names":false,"suffix":""},{"dropping-particle":"","family":"Casellas","given":"P","non-dropping-particle":"","parse-names":false,"suffix":""}],"container-title":"Journal of Pharmacology and Experimental Therapeutics","id":"ITEM-1","issue":"2","issued":{"date-parts":[["1999","2"]]},"page":"582-589","title":"SR 144528, an antagonist for the peripheral cannabinoid receptor that behaves as an inverse agonist - PubMed","type":"article-journal","volume":"288"},"uris":["http://www.mendeley.com/documents/?uuid=6f359a4c-4a12-3012-85d0-386c10a8ee81"]},{"id":"ITEM-2","itemData":{"ISSN":"00223565","PMID":"9454810","abstract":"Based on both binding and functional data, this study introduces SR 144528 as the first, highly potent, selective and orally active antagonist for the CB2 receptor. This compound which displays subnanomolar affinity (K(i) = 0.6 nM) for both the rat spleen and cloned human CB2 receptors has a 700-fold lower affinity (K(i)= 400 nM) for both the rat brain and cloned human CB1 receptors. Furthermore it shows no affinity for any of the more than 70 receptors, ion channels or enzymes investigated (IC50 &gt; 10 μM). In vitro, SR 144528 antagonizes the inhibitory effects of the cannabinoid receptor agonist CP 55,940 on forskolin-stimulated adenylyl cyclase activity in cell lines permanently expressing the h CB2 receptor (EC50 = 10 nM) but not in cells expressing the h CB1 (no effect at 10 μM). Furthermore, SR 144528 is able to selectively block the mitogen-activated protein kinase activity induced by CP 55,940 in cell lines expressing h CB2 (IC50 = 39 nM) whereas in cells expressing h CB1 an IC50 value of more than 1 μM is found. In addition, SR 144528 is shown to antagonize the stimulating effects of CP 55,940 on human tonsillar B-cell activation evoked by cross-linking of surface Igs (IC50 = 20 nM). In vivo, after oral administration SR 144528 totally displaced the ex vivo [3H]-CP 55,940 binding to mouse spleen membranes (ED50 = 0.35 mg/kg) with a long duration of action. In contrast, after the oral route it does not interact with the cannabinoid receptor expressed in the mouse brain (CB1). It is expected that SR 144528 will provide a powerful tool to investigate the in vivo functions of the cannabinoid system in the immune response.","author":[{"dropping-particle":"","family":"Rinaldi-Carmona","given":"Murielle","non-dropping-particle":"","parse-names":false,"suffix":""},{"dropping-particle":"","family":"Barth","given":"Francis","non-dropping-particle":"","parse-names":false,"suffix":""},{"dropping-particle":"","family":"Millan","given":"José","non-dropping-particle":"","parse-names":false,"suffix":""},{"dropping-particle":"","family":"Derocq","given":"Jean Marie","non-dropping-particle":"","parse-names":false,"suffix":""},{"dropping-particle":"","family":"Casellas","given":"Pierre","non-dropping-particle":"","parse-names":false,"suffix":""},{"dropping-particle":"","family":"Congy","given":"Christian","non-dropping-particle":"","parse-names":false,"suffix":""},{"dropping-particle":"","family":"Oustric","given":"Didier","non-dropping-particle":"","parse-names":false,"suffix":""},{"dropping-particle":"","family":"Sarran","given":"Martine","non-dropping-particle":"","parse-names":false,"suffix":""},{"dropping-particle":"","family":"Bouaboula","given":"Monsif","non-dropping-particle":"","parse-names":false,"suffix":""},{"dropping-particle":"","family":"Calandra","given":"Bernard","non-dropping-particle":"","parse-names":false,"suffix":""},{"dropping-particle":"","family":"Portier","given":"Marielle","non-dropping-particle":"","parse-names":false,"suffix":""},{"dropping-particle":"","family":"Shire","given":"David","non-dropping-particle":"","parse-names":false,"suffix":""},{"dropping-particle":"","family":"Brelière","given":"Jean Claude","non-dropping-particle":"","parse-names":false,"suffix":""},{"dropping-particle":"","family":"Fur","given":"Gérard","non-dropping-particle":"Le","parse-names":false,"suffix":""}],"container-title":"Journal of Pharmacology and Experimental Therapeutics","id":"ITEM-2","issue":"2","issued":{"date-parts":[["1998"]]},"page":"644-650","publisher":"American Society for Pharmacology and Experimental Therapy","title":"SR 144528, the first potent and selective antagonist of the CB2 cannabinoid receptor","type":"article-journal","volume":"284"},"uris":["http://www.mendeley.com/documents/?uuid=a95e8243-10f0-32f7-8eec-5da2005dbe36"]}],"mendeley":{"formattedCitation":"(Portier et al., 1999; Rinaldi-Carmona et al., 1998)","plainTextFormattedCitation":"(Portier et al., 1999; Rinaldi-Carmona et al., 1998)","previouslyFormattedCitation":"(Portier et al., 1999; Rinaldi-Carmona et al., 1998)"},"properties":{"noteIndex":0},"schema":"https://github.com/citation-style-language/schema/raw/master/csl-citation.json"}</w:instrText>
      </w:r>
      <w:r w:rsidRPr="00562846">
        <w:rPr>
          <w:rFonts w:ascii="Times New Roman" w:hAnsi="Times New Roman" w:cs="Times New Roman"/>
          <w:color w:val="000000" w:themeColor="text1"/>
          <w:sz w:val="24"/>
          <w:szCs w:val="24"/>
          <w:lang w:val="en-US"/>
        </w:rPr>
        <w:fldChar w:fldCharType="separate"/>
      </w:r>
      <w:r w:rsidRPr="00562846">
        <w:rPr>
          <w:rFonts w:ascii="Times New Roman" w:hAnsi="Times New Roman" w:cs="Times New Roman"/>
          <w:noProof/>
          <w:color w:val="000000" w:themeColor="text1"/>
          <w:sz w:val="24"/>
          <w:szCs w:val="24"/>
          <w:lang w:val="en-US"/>
        </w:rPr>
        <w:t>(Portier et al., 1999; Rinaldi-Carmona et al., 1998)</w:t>
      </w:r>
      <w:r w:rsidRPr="00562846">
        <w:rPr>
          <w:rFonts w:ascii="Times New Roman" w:hAnsi="Times New Roman" w:cs="Times New Roman"/>
          <w:color w:val="000000" w:themeColor="text1"/>
          <w:sz w:val="24"/>
          <w:szCs w:val="24"/>
          <w:lang w:val="en-US"/>
        </w:rPr>
        <w:fldChar w:fldCharType="end"/>
      </w:r>
      <w:r w:rsidRPr="00562846">
        <w:rPr>
          <w:rFonts w:ascii="Times New Roman" w:hAnsi="Times New Roman" w:cs="Times New Roman"/>
          <w:color w:val="000000" w:themeColor="text1"/>
          <w:sz w:val="24"/>
          <w:szCs w:val="24"/>
          <w:lang w:val="en-US"/>
        </w:rPr>
        <w:t>,</w:t>
      </w:r>
      <w:r w:rsidRPr="00BF3C5D">
        <w:rPr>
          <w:rFonts w:ascii="Times New Roman" w:hAnsi="Times New Roman" w:cs="Times New Roman"/>
          <w:color w:val="000000" w:themeColor="text1"/>
          <w:sz w:val="24"/>
          <w:szCs w:val="24"/>
          <w:lang w:val="en-US"/>
        </w:rPr>
        <w:t xml:space="preserve"> </w:t>
      </w:r>
      <w:r w:rsidRPr="00BF3C5D">
        <w:rPr>
          <w:rFonts w:ascii="Times New Roman" w:hAnsi="Times New Roman" w:cs="Times New Roman"/>
          <w:sz w:val="24"/>
          <w:szCs w:val="24"/>
          <w:lang w:val="en-US"/>
        </w:rPr>
        <w:t>followed by its evaluation as disease-modifying agent in an experimental model of CM.</w:t>
      </w:r>
    </w:p>
    <w:p w14:paraId="02E9CDD4" w14:textId="77777777" w:rsidR="0087757B" w:rsidRPr="00BF3C5D" w:rsidRDefault="0087757B" w:rsidP="00C52E77">
      <w:pPr>
        <w:pStyle w:val="Heading2"/>
        <w:rPr>
          <w:lang w:val="en-US"/>
        </w:rPr>
      </w:pPr>
      <w:r w:rsidRPr="00BF3C5D">
        <w:rPr>
          <w:lang w:val="en-US"/>
        </w:rPr>
        <w:lastRenderedPageBreak/>
        <w:t>Radioligand binding assays for CB</w:t>
      </w:r>
      <w:r w:rsidRPr="00BF3C5D">
        <w:rPr>
          <w:vertAlign w:val="subscript"/>
          <w:lang w:val="en-US"/>
        </w:rPr>
        <w:t>1</w:t>
      </w:r>
      <w:r w:rsidRPr="00BF3C5D">
        <w:rPr>
          <w:lang w:val="en-US"/>
        </w:rPr>
        <w:t xml:space="preserve"> and CB</w:t>
      </w:r>
      <w:r w:rsidRPr="00BF3C5D">
        <w:rPr>
          <w:vertAlign w:val="subscript"/>
          <w:lang w:val="en-US"/>
        </w:rPr>
        <w:t>2</w:t>
      </w:r>
      <w:r w:rsidRPr="00BF3C5D">
        <w:rPr>
          <w:lang w:val="en-US"/>
        </w:rPr>
        <w:t xml:space="preserve"> receptors</w:t>
      </w:r>
    </w:p>
    <w:p w14:paraId="5E89F2D7" w14:textId="7003A1BE" w:rsidR="0087757B" w:rsidRPr="00BF3C5D" w:rsidRDefault="0087757B" w:rsidP="00BF3C5D">
      <w:pPr>
        <w:tabs>
          <w:tab w:val="left" w:pos="2135"/>
        </w:tabs>
        <w:spacing w:before="120" w:after="120" w:line="360" w:lineRule="auto"/>
        <w:jc w:val="both"/>
        <w:rPr>
          <w:rFonts w:ascii="Times New Roman" w:hAnsi="Times New Roman" w:cs="Times New Roman"/>
          <w:sz w:val="24"/>
          <w:szCs w:val="24"/>
          <w:shd w:val="clear" w:color="auto" w:fill="FFFFFF"/>
          <w:lang w:val="en-US"/>
        </w:rPr>
      </w:pPr>
      <w:r w:rsidRPr="00BF3C5D">
        <w:rPr>
          <w:rFonts w:ascii="Times New Roman" w:hAnsi="Times New Roman" w:cs="Times New Roman"/>
          <w:sz w:val="24"/>
          <w:szCs w:val="24"/>
          <w:lang w:val="en-US"/>
        </w:rPr>
        <w:t>We first proceeded to evaluate the affinity of SR144528 at the CB</w:t>
      </w:r>
      <w:r w:rsidRPr="00BF3C5D">
        <w:rPr>
          <w:rFonts w:ascii="Times New Roman" w:hAnsi="Times New Roman" w:cs="Times New Roman"/>
          <w:sz w:val="24"/>
          <w:szCs w:val="24"/>
          <w:vertAlign w:val="subscript"/>
          <w:lang w:val="en-US"/>
        </w:rPr>
        <w:t>1</w:t>
      </w:r>
      <w:r w:rsidRPr="00BF3C5D">
        <w:rPr>
          <w:rFonts w:ascii="Times New Roman" w:hAnsi="Times New Roman" w:cs="Times New Roman"/>
          <w:sz w:val="24"/>
          <w:szCs w:val="24"/>
          <w:lang w:val="en-US"/>
        </w:rPr>
        <w:t xml:space="preserve"> and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receptors by conducting competition assays. To this end, SR144528 was evaluated </w:t>
      </w:r>
      <w:r w:rsidRPr="00BF3C5D">
        <w:rPr>
          <w:rFonts w:ascii="Times New Roman" w:hAnsi="Times New Roman" w:cs="Times New Roman"/>
          <w:i/>
          <w:sz w:val="24"/>
          <w:szCs w:val="24"/>
          <w:lang w:val="en-US"/>
        </w:rPr>
        <w:t>in vitro</w:t>
      </w:r>
      <w:r w:rsidRPr="00BF3C5D">
        <w:rPr>
          <w:rFonts w:ascii="Times New Roman" w:hAnsi="Times New Roman" w:cs="Times New Roman"/>
          <w:sz w:val="24"/>
          <w:szCs w:val="24"/>
          <w:lang w:val="en-US"/>
        </w:rPr>
        <w:t xml:space="preserve"> for their ability to displace </w:t>
      </w:r>
      <w:r w:rsidRPr="00BF3C5D">
        <w:rPr>
          <w:rFonts w:ascii="Times New Roman" w:hAnsi="Times New Roman" w:cs="Times New Roman"/>
          <w:sz w:val="24"/>
          <w:szCs w:val="24"/>
          <w:shd w:val="clear" w:color="auto" w:fill="FFFFFF"/>
          <w:lang w:val="en-US"/>
        </w:rPr>
        <w:t>[</w:t>
      </w:r>
      <w:r w:rsidRPr="00BF3C5D">
        <w:rPr>
          <w:rFonts w:ascii="Times New Roman" w:hAnsi="Times New Roman" w:cs="Times New Roman"/>
          <w:sz w:val="24"/>
          <w:szCs w:val="24"/>
          <w:shd w:val="clear" w:color="auto" w:fill="FFFFFF"/>
          <w:vertAlign w:val="superscript"/>
          <w:lang w:val="en-US"/>
        </w:rPr>
        <w:t>3</w:t>
      </w:r>
      <w:r w:rsidRPr="00BF3C5D">
        <w:rPr>
          <w:rFonts w:ascii="Times New Roman" w:hAnsi="Times New Roman" w:cs="Times New Roman"/>
          <w:sz w:val="24"/>
          <w:szCs w:val="24"/>
          <w:shd w:val="clear" w:color="auto" w:fill="FFFFFF"/>
          <w:lang w:val="en-US"/>
        </w:rPr>
        <w:t>H]-CP55,940 from human cannabinoid CB</w:t>
      </w:r>
      <w:r w:rsidRPr="00BF3C5D">
        <w:rPr>
          <w:rFonts w:ascii="Times New Roman" w:hAnsi="Times New Roman" w:cs="Times New Roman"/>
          <w:sz w:val="24"/>
          <w:szCs w:val="24"/>
          <w:shd w:val="clear" w:color="auto" w:fill="FFFFFF"/>
          <w:vertAlign w:val="subscript"/>
          <w:lang w:val="en-US"/>
        </w:rPr>
        <w:t xml:space="preserve">1 </w:t>
      </w:r>
      <w:r w:rsidRPr="00BF3C5D">
        <w:rPr>
          <w:rFonts w:ascii="Times New Roman" w:hAnsi="Times New Roman" w:cs="Times New Roman"/>
          <w:sz w:val="24"/>
          <w:szCs w:val="24"/>
          <w:shd w:val="clear" w:color="auto" w:fill="FFFFFF"/>
          <w:lang w:val="en-US"/>
        </w:rPr>
        <w:t>and CB</w:t>
      </w:r>
      <w:r w:rsidRPr="00BF3C5D">
        <w:rPr>
          <w:rFonts w:ascii="Times New Roman" w:hAnsi="Times New Roman" w:cs="Times New Roman"/>
          <w:sz w:val="24"/>
          <w:szCs w:val="24"/>
          <w:shd w:val="clear" w:color="auto" w:fill="FFFFFF"/>
          <w:vertAlign w:val="subscript"/>
          <w:lang w:val="en-US"/>
        </w:rPr>
        <w:t>2</w:t>
      </w:r>
      <w:r w:rsidRPr="00BF3C5D">
        <w:rPr>
          <w:rFonts w:ascii="Times New Roman" w:hAnsi="Times New Roman" w:cs="Times New Roman"/>
          <w:sz w:val="24"/>
          <w:szCs w:val="24"/>
          <w:shd w:val="clear" w:color="auto" w:fill="FFFFFF"/>
          <w:lang w:val="en-US"/>
        </w:rPr>
        <w:t xml:space="preserve"> receptors transfected into HEK293 EBNA cells. SR144528 was first subjected to a preliminary screening at saturating conditions of 4 </w:t>
      </w:r>
      <w:r w:rsidRPr="00BF3C5D">
        <w:rPr>
          <w:rFonts w:ascii="Times New Roman" w:hAnsi="Times New Roman" w:cs="Times New Roman"/>
          <w:sz w:val="24"/>
          <w:szCs w:val="24"/>
          <w:shd w:val="clear" w:color="auto" w:fill="FFFFFF"/>
        </w:rPr>
        <w:t>μ</w:t>
      </w:r>
      <w:r w:rsidRPr="00BF3C5D">
        <w:rPr>
          <w:rFonts w:ascii="Times New Roman" w:hAnsi="Times New Roman" w:cs="Times New Roman"/>
          <w:sz w:val="24"/>
          <w:szCs w:val="24"/>
          <w:shd w:val="clear" w:color="auto" w:fill="FFFFFF"/>
          <w:lang w:val="en-US"/>
        </w:rPr>
        <w:t>M for both CB</w:t>
      </w:r>
      <w:r w:rsidRPr="00BF3C5D">
        <w:rPr>
          <w:rFonts w:ascii="Times New Roman" w:hAnsi="Times New Roman" w:cs="Times New Roman"/>
          <w:sz w:val="24"/>
          <w:szCs w:val="24"/>
          <w:shd w:val="clear" w:color="auto" w:fill="FFFFFF"/>
          <w:vertAlign w:val="subscript"/>
          <w:lang w:val="en-US"/>
        </w:rPr>
        <w:t>1</w:t>
      </w:r>
      <w:r w:rsidRPr="00BF3C5D">
        <w:rPr>
          <w:rFonts w:ascii="Times New Roman" w:hAnsi="Times New Roman" w:cs="Times New Roman"/>
          <w:sz w:val="24"/>
          <w:szCs w:val="24"/>
          <w:shd w:val="clear" w:color="auto" w:fill="FFFFFF"/>
          <w:lang w:val="en-US"/>
        </w:rPr>
        <w:t xml:space="preserve"> and CB</w:t>
      </w:r>
      <w:r w:rsidRPr="00BF3C5D">
        <w:rPr>
          <w:rFonts w:ascii="Times New Roman" w:hAnsi="Times New Roman" w:cs="Times New Roman"/>
          <w:sz w:val="24"/>
          <w:szCs w:val="24"/>
          <w:shd w:val="clear" w:color="auto" w:fill="FFFFFF"/>
          <w:vertAlign w:val="subscript"/>
          <w:lang w:val="en-US"/>
        </w:rPr>
        <w:t>2</w:t>
      </w:r>
      <w:r w:rsidRPr="00BF3C5D">
        <w:rPr>
          <w:rFonts w:ascii="Times New Roman" w:hAnsi="Times New Roman" w:cs="Times New Roman"/>
          <w:sz w:val="24"/>
          <w:szCs w:val="24"/>
          <w:shd w:val="clear" w:color="auto" w:fill="FFFFFF"/>
          <w:lang w:val="en-US"/>
        </w:rPr>
        <w:t xml:space="preserve"> receptors. Subsequently, </w:t>
      </w:r>
      <w:r w:rsidR="003D7816" w:rsidRPr="00562846">
        <w:rPr>
          <w:rFonts w:ascii="Times New Roman" w:hAnsi="Times New Roman" w:cs="Times New Roman"/>
          <w:color w:val="000000" w:themeColor="text1"/>
          <w:sz w:val="24"/>
          <w:szCs w:val="24"/>
          <w:lang w:val="en-US"/>
        </w:rPr>
        <w:t>a</w:t>
      </w:r>
      <w:r w:rsidRPr="00562846">
        <w:rPr>
          <w:rFonts w:ascii="Times New Roman" w:hAnsi="Times New Roman" w:cs="Times New Roman"/>
          <w:color w:val="000000" w:themeColor="text1"/>
          <w:sz w:val="24"/>
          <w:szCs w:val="24"/>
          <w:lang w:val="en-US"/>
        </w:rPr>
        <w:t xml:space="preserve"> </w:t>
      </w:r>
      <w:r w:rsidRPr="00562846">
        <w:rPr>
          <w:rFonts w:ascii="Times New Roman" w:hAnsi="Times New Roman" w:cs="Times New Roman"/>
          <w:color w:val="000000" w:themeColor="text1"/>
          <w:sz w:val="24"/>
          <w:szCs w:val="24"/>
          <w:shd w:val="clear" w:color="auto" w:fill="FFFFFF"/>
          <w:lang w:val="en-US"/>
        </w:rPr>
        <w:t xml:space="preserve">complete concentration-occupancy curve </w:t>
      </w:r>
      <w:r w:rsidRPr="00562846">
        <w:rPr>
          <w:rFonts w:ascii="Times New Roman" w:hAnsi="Times New Roman" w:cs="Times New Roman"/>
          <w:sz w:val="24"/>
          <w:szCs w:val="24"/>
          <w:shd w:val="clear" w:color="auto" w:fill="FFFFFF"/>
          <w:lang w:val="en-US"/>
        </w:rPr>
        <w:t>rom</w:t>
      </w:r>
      <w:r w:rsidRPr="00BF3C5D">
        <w:rPr>
          <w:rFonts w:ascii="Times New Roman" w:hAnsi="Times New Roman" w:cs="Times New Roman"/>
          <w:sz w:val="24"/>
          <w:szCs w:val="24"/>
          <w:shd w:val="clear" w:color="auto" w:fill="FFFFFF"/>
          <w:lang w:val="en-US"/>
        </w:rPr>
        <w:t xml:space="preserve"> 10</w:t>
      </w:r>
      <w:r w:rsidRPr="00BF3C5D">
        <w:rPr>
          <w:rFonts w:ascii="Times New Roman" w:hAnsi="Times New Roman" w:cs="Times New Roman"/>
          <w:sz w:val="24"/>
          <w:szCs w:val="24"/>
          <w:shd w:val="clear" w:color="auto" w:fill="FFFFFF"/>
          <w:vertAlign w:val="superscript"/>
          <w:lang w:val="en-US"/>
        </w:rPr>
        <w:t>-4</w:t>
      </w:r>
      <w:r w:rsidRPr="00BF3C5D">
        <w:rPr>
          <w:rFonts w:ascii="Times New Roman" w:hAnsi="Times New Roman" w:cs="Times New Roman"/>
          <w:sz w:val="24"/>
          <w:szCs w:val="24"/>
          <w:shd w:val="clear" w:color="auto" w:fill="FFFFFF"/>
          <w:lang w:val="en-US"/>
        </w:rPr>
        <w:t xml:space="preserve"> to 10</w:t>
      </w:r>
      <w:r w:rsidRPr="00BF3C5D">
        <w:rPr>
          <w:rFonts w:ascii="Times New Roman" w:hAnsi="Times New Roman" w:cs="Times New Roman"/>
          <w:sz w:val="24"/>
          <w:szCs w:val="24"/>
          <w:shd w:val="clear" w:color="auto" w:fill="FFFFFF"/>
          <w:vertAlign w:val="superscript"/>
          <w:lang w:val="en-US"/>
        </w:rPr>
        <w:t xml:space="preserve">-12 </w:t>
      </w:r>
      <w:r w:rsidRPr="008D1177">
        <w:rPr>
          <w:rFonts w:ascii="Times New Roman" w:hAnsi="Times New Roman" w:cs="Times New Roman"/>
          <w:i/>
          <w:iCs/>
          <w:sz w:val="24"/>
          <w:szCs w:val="24"/>
          <w:shd w:val="clear" w:color="auto" w:fill="FFFFFF"/>
          <w:lang w:val="en-US"/>
        </w:rPr>
        <w:t>M</w:t>
      </w:r>
      <w:r w:rsidRPr="00BF3C5D">
        <w:rPr>
          <w:rFonts w:ascii="Times New Roman" w:hAnsi="Times New Roman" w:cs="Times New Roman"/>
          <w:sz w:val="24"/>
          <w:szCs w:val="24"/>
          <w:shd w:val="clear" w:color="auto" w:fill="FFFFFF"/>
          <w:lang w:val="en-US"/>
        </w:rPr>
        <w:t xml:space="preserve"> was carried out to obtain the inhibitor constant </w:t>
      </w:r>
      <w:r w:rsidRPr="008D1177">
        <w:rPr>
          <w:rFonts w:ascii="Times New Roman" w:hAnsi="Times New Roman" w:cs="Times New Roman"/>
          <w:i/>
          <w:iCs/>
          <w:sz w:val="24"/>
          <w:szCs w:val="24"/>
          <w:shd w:val="clear" w:color="auto" w:fill="FFFFFF"/>
          <w:lang w:val="en-US"/>
        </w:rPr>
        <w:t>K</w:t>
      </w:r>
      <w:r w:rsidRPr="008D1177">
        <w:rPr>
          <w:rFonts w:ascii="Times New Roman" w:hAnsi="Times New Roman" w:cs="Times New Roman"/>
          <w:i/>
          <w:iCs/>
          <w:sz w:val="24"/>
          <w:szCs w:val="24"/>
          <w:shd w:val="clear" w:color="auto" w:fill="FFFFFF"/>
          <w:vertAlign w:val="subscript"/>
          <w:lang w:val="en-US"/>
        </w:rPr>
        <w:t>i</w:t>
      </w:r>
      <w:r w:rsidRPr="00BF3C5D">
        <w:rPr>
          <w:rFonts w:ascii="Times New Roman" w:hAnsi="Times New Roman" w:cs="Times New Roman"/>
          <w:sz w:val="24"/>
          <w:szCs w:val="24"/>
          <w:shd w:val="clear" w:color="auto" w:fill="FFFFFF"/>
          <w:lang w:val="en-US"/>
        </w:rPr>
        <w:t xml:space="preserve"> values given that SR144528 displaced the radioligand by more than 50% in the preliminary screening. </w:t>
      </w:r>
    </w:p>
    <w:p w14:paraId="6D35FE1E" w14:textId="77777777" w:rsidR="0087757B" w:rsidRPr="00BF3C5D" w:rsidRDefault="0087757B" w:rsidP="00BF3C5D">
      <w:pPr>
        <w:tabs>
          <w:tab w:val="left" w:pos="2135"/>
        </w:tabs>
        <w:spacing w:before="120" w:after="120" w:line="360" w:lineRule="auto"/>
        <w:jc w:val="both"/>
        <w:rPr>
          <w:rFonts w:ascii="Times New Roman" w:hAnsi="Times New Roman" w:cs="Times New Roman"/>
          <w:sz w:val="24"/>
          <w:szCs w:val="24"/>
          <w:shd w:val="clear" w:color="auto" w:fill="FFFFFF"/>
          <w:lang w:val="en-US"/>
        </w:rPr>
      </w:pPr>
      <w:r w:rsidRPr="00BF3C5D">
        <w:rPr>
          <w:rFonts w:ascii="Times New Roman" w:hAnsi="Times New Roman" w:cs="Times New Roman"/>
          <w:color w:val="000000"/>
          <w:sz w:val="24"/>
          <w:szCs w:val="24"/>
          <w:lang w:val="en-US"/>
        </w:rPr>
        <w:t>Membranes purified from transfected cells with human CB</w:t>
      </w:r>
      <w:r w:rsidRPr="00BF3C5D">
        <w:rPr>
          <w:rFonts w:ascii="Times New Roman" w:hAnsi="Times New Roman" w:cs="Times New Roman"/>
          <w:color w:val="000000"/>
          <w:sz w:val="24"/>
          <w:szCs w:val="24"/>
          <w:vertAlign w:val="subscript"/>
          <w:lang w:val="en-US"/>
        </w:rPr>
        <w:t>1</w:t>
      </w:r>
      <w:r w:rsidRPr="00BF3C5D">
        <w:rPr>
          <w:rFonts w:ascii="Times New Roman" w:hAnsi="Times New Roman" w:cs="Times New Roman"/>
          <w:color w:val="000000"/>
          <w:sz w:val="24"/>
          <w:szCs w:val="24"/>
          <w:lang w:val="en-US"/>
        </w:rPr>
        <w:t> or CB</w:t>
      </w:r>
      <w:r w:rsidRPr="00BF3C5D">
        <w:rPr>
          <w:rFonts w:ascii="Times New Roman" w:hAnsi="Times New Roman" w:cs="Times New Roman"/>
          <w:color w:val="000000"/>
          <w:sz w:val="24"/>
          <w:szCs w:val="24"/>
          <w:vertAlign w:val="subscript"/>
          <w:lang w:val="en-US"/>
        </w:rPr>
        <w:t>2</w:t>
      </w:r>
      <w:r w:rsidRPr="00BF3C5D">
        <w:rPr>
          <w:rFonts w:ascii="Times New Roman" w:hAnsi="Times New Roman" w:cs="Times New Roman"/>
          <w:color w:val="000000"/>
          <w:sz w:val="24"/>
          <w:szCs w:val="24"/>
          <w:lang w:val="en-US"/>
        </w:rPr>
        <w:t xml:space="preserve"> receptors (RBHCB1M400UA and RBXCB2M400UA) were supplied by Perkin-Elmer Life and Analytical Sciences (Boston, MA). The final membrane protein concentration was 0.8 </w:t>
      </w:r>
      <w:r w:rsidRPr="008D1177">
        <w:rPr>
          <w:rFonts w:ascii="Times New Roman" w:hAnsi="Times New Roman" w:cs="Times New Roman"/>
          <w:i/>
          <w:iCs/>
          <w:color w:val="000000"/>
          <w:sz w:val="24"/>
          <w:szCs w:val="24"/>
          <w:lang w:val="en-US"/>
        </w:rPr>
        <w:t>μg</w:t>
      </w:r>
      <w:r w:rsidRPr="00BF3C5D">
        <w:rPr>
          <w:rFonts w:ascii="Times New Roman" w:hAnsi="Times New Roman" w:cs="Times New Roman"/>
          <w:color w:val="000000"/>
          <w:sz w:val="24"/>
          <w:szCs w:val="24"/>
          <w:lang w:val="en-US"/>
        </w:rPr>
        <w:t xml:space="preserve">/well and 0.4 </w:t>
      </w:r>
      <w:r w:rsidRPr="008D1177">
        <w:rPr>
          <w:rFonts w:ascii="Times New Roman" w:hAnsi="Times New Roman" w:cs="Times New Roman"/>
          <w:i/>
          <w:iCs/>
          <w:color w:val="000000"/>
          <w:sz w:val="24"/>
          <w:szCs w:val="24"/>
          <w:lang w:val="en-US"/>
        </w:rPr>
        <w:t>μg</w:t>
      </w:r>
      <w:r w:rsidRPr="00BF3C5D">
        <w:rPr>
          <w:rFonts w:ascii="Times New Roman" w:hAnsi="Times New Roman" w:cs="Times New Roman"/>
          <w:color w:val="000000"/>
          <w:sz w:val="24"/>
          <w:szCs w:val="24"/>
          <w:lang w:val="en-US"/>
        </w:rPr>
        <w:t>/well respectively for the CB</w:t>
      </w:r>
      <w:r w:rsidRPr="00BF3C5D">
        <w:rPr>
          <w:rFonts w:ascii="Times New Roman" w:hAnsi="Times New Roman" w:cs="Times New Roman"/>
          <w:color w:val="000000"/>
          <w:sz w:val="24"/>
          <w:szCs w:val="24"/>
          <w:vertAlign w:val="subscript"/>
          <w:lang w:val="en-US"/>
        </w:rPr>
        <w:t>1</w:t>
      </w:r>
      <w:r w:rsidRPr="00BF3C5D">
        <w:rPr>
          <w:rFonts w:ascii="Times New Roman" w:hAnsi="Times New Roman" w:cs="Times New Roman"/>
          <w:color w:val="000000"/>
          <w:sz w:val="24"/>
          <w:szCs w:val="24"/>
          <w:lang w:val="en-US"/>
        </w:rPr>
        <w:t> and the CB</w:t>
      </w:r>
      <w:r w:rsidRPr="00BF3C5D">
        <w:rPr>
          <w:rFonts w:ascii="Times New Roman" w:hAnsi="Times New Roman" w:cs="Times New Roman"/>
          <w:color w:val="000000"/>
          <w:sz w:val="24"/>
          <w:szCs w:val="24"/>
          <w:vertAlign w:val="subscript"/>
          <w:lang w:val="en-US"/>
        </w:rPr>
        <w:t>2</w:t>
      </w:r>
      <w:r w:rsidRPr="00BF3C5D">
        <w:rPr>
          <w:rFonts w:ascii="Times New Roman" w:hAnsi="Times New Roman" w:cs="Times New Roman"/>
          <w:color w:val="000000"/>
          <w:sz w:val="24"/>
          <w:szCs w:val="24"/>
          <w:lang w:val="en-US"/>
        </w:rPr>
        <w:t> receptor assays. The radioligand [</w:t>
      </w:r>
      <w:r w:rsidRPr="00BF3C5D">
        <w:rPr>
          <w:rFonts w:ascii="Times New Roman" w:hAnsi="Times New Roman" w:cs="Times New Roman"/>
          <w:color w:val="000000"/>
          <w:sz w:val="24"/>
          <w:szCs w:val="24"/>
          <w:vertAlign w:val="superscript"/>
          <w:lang w:val="en-US"/>
        </w:rPr>
        <w:t>3</w:t>
      </w:r>
      <w:r w:rsidRPr="00BF3C5D">
        <w:rPr>
          <w:rFonts w:ascii="Times New Roman" w:hAnsi="Times New Roman" w:cs="Times New Roman"/>
          <w:color w:val="000000"/>
          <w:sz w:val="24"/>
          <w:szCs w:val="24"/>
          <w:lang w:val="en-US"/>
        </w:rPr>
        <w:t xml:space="preserve">H]-CP55940 (PerkinElmer) was used at 0,4 </w:t>
      </w:r>
      <w:r w:rsidRPr="008D1177">
        <w:rPr>
          <w:rFonts w:ascii="Times New Roman" w:hAnsi="Times New Roman" w:cs="Times New Roman"/>
          <w:i/>
          <w:iCs/>
          <w:color w:val="000000"/>
          <w:sz w:val="24"/>
          <w:szCs w:val="24"/>
          <w:lang w:val="en-US"/>
        </w:rPr>
        <w:t>nM</w:t>
      </w:r>
      <w:r w:rsidRPr="00BF3C5D">
        <w:rPr>
          <w:rFonts w:ascii="Times New Roman" w:hAnsi="Times New Roman" w:cs="Times New Roman"/>
          <w:color w:val="000000"/>
          <w:sz w:val="24"/>
          <w:szCs w:val="24"/>
          <w:lang w:val="en-US"/>
        </w:rPr>
        <w:t xml:space="preserve"> for CB</w:t>
      </w:r>
      <w:r w:rsidRPr="00BF3C5D">
        <w:rPr>
          <w:rFonts w:ascii="Times New Roman" w:hAnsi="Times New Roman" w:cs="Times New Roman"/>
          <w:color w:val="000000"/>
          <w:sz w:val="24"/>
          <w:szCs w:val="24"/>
          <w:vertAlign w:val="subscript"/>
          <w:lang w:val="en-US"/>
        </w:rPr>
        <w:t>1</w:t>
      </w:r>
      <w:r w:rsidRPr="00BF3C5D">
        <w:rPr>
          <w:rFonts w:ascii="Times New Roman" w:hAnsi="Times New Roman" w:cs="Times New Roman"/>
          <w:color w:val="000000"/>
          <w:sz w:val="24"/>
          <w:szCs w:val="24"/>
          <w:lang w:val="en-US"/>
        </w:rPr>
        <w:t xml:space="preserve"> and 0,53 </w:t>
      </w:r>
      <w:r w:rsidRPr="008D1177">
        <w:rPr>
          <w:rFonts w:ascii="Times New Roman" w:hAnsi="Times New Roman" w:cs="Times New Roman"/>
          <w:i/>
          <w:iCs/>
          <w:color w:val="000000"/>
          <w:sz w:val="24"/>
          <w:szCs w:val="24"/>
          <w:lang w:val="en-US"/>
        </w:rPr>
        <w:t xml:space="preserve">nM </w:t>
      </w:r>
      <w:r w:rsidRPr="00BF3C5D">
        <w:rPr>
          <w:rFonts w:ascii="Times New Roman" w:hAnsi="Times New Roman" w:cs="Times New Roman"/>
          <w:color w:val="000000"/>
          <w:sz w:val="24"/>
          <w:szCs w:val="24"/>
          <w:lang w:val="en-US"/>
        </w:rPr>
        <w:t>for CB</w:t>
      </w:r>
      <w:r w:rsidRPr="00BF3C5D">
        <w:rPr>
          <w:rFonts w:ascii="Times New Roman" w:hAnsi="Times New Roman" w:cs="Times New Roman"/>
          <w:color w:val="000000"/>
          <w:sz w:val="24"/>
          <w:szCs w:val="24"/>
          <w:vertAlign w:val="subscript"/>
          <w:lang w:val="en-US"/>
        </w:rPr>
        <w:t>2</w:t>
      </w:r>
      <w:r w:rsidRPr="00BF3C5D">
        <w:rPr>
          <w:rFonts w:ascii="Times New Roman" w:hAnsi="Times New Roman" w:cs="Times New Roman"/>
          <w:color w:val="000000"/>
          <w:sz w:val="24"/>
          <w:szCs w:val="24"/>
          <w:lang w:val="en-US"/>
        </w:rPr>
        <w:t xml:space="preserve">. The final incubation volume was 200 </w:t>
      </w:r>
      <w:r w:rsidRPr="008D1177">
        <w:rPr>
          <w:rFonts w:ascii="Times New Roman" w:hAnsi="Times New Roman" w:cs="Times New Roman"/>
          <w:i/>
          <w:iCs/>
          <w:color w:val="000000"/>
          <w:sz w:val="24"/>
          <w:szCs w:val="24"/>
        </w:rPr>
        <w:t>μ</w:t>
      </w:r>
      <w:r w:rsidRPr="008D1177">
        <w:rPr>
          <w:rFonts w:ascii="Times New Roman" w:hAnsi="Times New Roman" w:cs="Times New Roman"/>
          <w:i/>
          <w:iCs/>
          <w:color w:val="000000"/>
          <w:sz w:val="24"/>
          <w:szCs w:val="24"/>
          <w:lang w:val="en-US"/>
        </w:rPr>
        <w:t>L</w:t>
      </w:r>
      <w:r w:rsidRPr="00BF3C5D">
        <w:rPr>
          <w:rFonts w:ascii="Times New Roman" w:hAnsi="Times New Roman" w:cs="Times New Roman"/>
          <w:color w:val="000000"/>
          <w:sz w:val="24"/>
          <w:szCs w:val="24"/>
          <w:lang w:val="en-US"/>
        </w:rPr>
        <w:t xml:space="preserve"> for both CB</w:t>
      </w:r>
      <w:r w:rsidRPr="00BF3C5D">
        <w:rPr>
          <w:rFonts w:ascii="Times New Roman" w:hAnsi="Times New Roman" w:cs="Times New Roman"/>
          <w:color w:val="000000"/>
          <w:sz w:val="24"/>
          <w:szCs w:val="24"/>
          <w:vertAlign w:val="subscript"/>
          <w:lang w:val="en-US"/>
        </w:rPr>
        <w:t>1</w:t>
      </w:r>
      <w:r w:rsidRPr="00BF3C5D">
        <w:rPr>
          <w:rFonts w:ascii="Times New Roman" w:hAnsi="Times New Roman" w:cs="Times New Roman"/>
          <w:color w:val="000000"/>
          <w:sz w:val="24"/>
          <w:szCs w:val="24"/>
          <w:lang w:val="en-US"/>
        </w:rPr>
        <w:t> and CB</w:t>
      </w:r>
      <w:r w:rsidRPr="00BF3C5D">
        <w:rPr>
          <w:rFonts w:ascii="Times New Roman" w:hAnsi="Times New Roman" w:cs="Times New Roman"/>
          <w:color w:val="000000"/>
          <w:sz w:val="24"/>
          <w:szCs w:val="24"/>
          <w:vertAlign w:val="subscript"/>
          <w:lang w:val="en-US"/>
        </w:rPr>
        <w:t>2</w:t>
      </w:r>
      <w:r w:rsidRPr="00BF3C5D">
        <w:rPr>
          <w:rFonts w:ascii="Times New Roman" w:hAnsi="Times New Roman" w:cs="Times New Roman"/>
          <w:color w:val="000000"/>
          <w:sz w:val="24"/>
          <w:szCs w:val="24"/>
          <w:lang w:val="en-US"/>
        </w:rPr>
        <w:t> binding. 96-well plates and the tubes necessary for the experiment were previously siliconized with Sigmacote (Sigma).</w:t>
      </w:r>
    </w:p>
    <w:p w14:paraId="449213D3" w14:textId="0B3511FB" w:rsidR="00452FDF" w:rsidRPr="00BF3C5D" w:rsidRDefault="0087757B" w:rsidP="00BF3C5D">
      <w:pPr>
        <w:pStyle w:val="p"/>
        <w:shd w:val="clear" w:color="auto" w:fill="FFFFFF"/>
        <w:spacing w:before="120" w:beforeAutospacing="0" w:after="120" w:afterAutospacing="0" w:line="360" w:lineRule="auto"/>
        <w:jc w:val="both"/>
        <w:rPr>
          <w:color w:val="FF0000"/>
          <w:lang w:val="en-US"/>
        </w:rPr>
      </w:pPr>
      <w:r w:rsidRPr="00BF3C5D">
        <w:rPr>
          <w:lang w:val="en-US"/>
        </w:rPr>
        <w:t>Membranes were resuspended in the corresponding buffer (</w:t>
      </w:r>
      <w:r w:rsidRPr="00BF3C5D">
        <w:rPr>
          <w:color w:val="000000"/>
          <w:lang w:val="en-US"/>
        </w:rPr>
        <w:t xml:space="preserve">50 </w:t>
      </w:r>
      <w:r w:rsidRPr="008D1177">
        <w:rPr>
          <w:i/>
          <w:iCs/>
          <w:color w:val="000000"/>
          <w:lang w:val="en-US"/>
        </w:rPr>
        <w:t>mM</w:t>
      </w:r>
      <w:r w:rsidRPr="00BF3C5D">
        <w:rPr>
          <w:color w:val="000000"/>
          <w:lang w:val="en-US"/>
        </w:rPr>
        <w:t xml:space="preserve"> </w:t>
      </w:r>
      <w:proofErr w:type="spellStart"/>
      <w:r w:rsidRPr="00BF3C5D">
        <w:rPr>
          <w:color w:val="000000"/>
          <w:lang w:val="en-US"/>
        </w:rPr>
        <w:t>TrisCl</w:t>
      </w:r>
      <w:proofErr w:type="spellEnd"/>
      <w:r w:rsidRPr="00BF3C5D">
        <w:rPr>
          <w:color w:val="000000"/>
          <w:lang w:val="en-US"/>
        </w:rPr>
        <w:t xml:space="preserve">, 5 </w:t>
      </w:r>
      <w:r w:rsidRPr="008D1177">
        <w:rPr>
          <w:i/>
          <w:iCs/>
          <w:color w:val="000000"/>
          <w:lang w:val="en-US"/>
        </w:rPr>
        <w:t>mM</w:t>
      </w:r>
      <w:r w:rsidRPr="00BF3C5D">
        <w:rPr>
          <w:color w:val="000000"/>
          <w:lang w:val="en-US"/>
        </w:rPr>
        <w:t xml:space="preserve"> MgCl</w:t>
      </w:r>
      <w:r w:rsidRPr="00BF3C5D">
        <w:rPr>
          <w:color w:val="000000"/>
          <w:vertAlign w:val="subscript"/>
          <w:lang w:val="en-US"/>
        </w:rPr>
        <w:t>2</w:t>
      </w:r>
      <w:r w:rsidRPr="00BF3C5D">
        <w:rPr>
          <w:color w:val="000000"/>
          <w:lang w:val="en-US"/>
        </w:rPr>
        <w:t>.H</w:t>
      </w:r>
      <w:r w:rsidRPr="00BF3C5D">
        <w:rPr>
          <w:color w:val="000000"/>
          <w:vertAlign w:val="subscript"/>
          <w:lang w:val="en-US"/>
        </w:rPr>
        <w:t>2</w:t>
      </w:r>
      <w:r w:rsidRPr="00BF3C5D">
        <w:rPr>
          <w:color w:val="000000"/>
          <w:lang w:val="en-US"/>
        </w:rPr>
        <w:t xml:space="preserve">O, 2.5 </w:t>
      </w:r>
      <w:r w:rsidRPr="008D1177">
        <w:rPr>
          <w:i/>
          <w:iCs/>
          <w:color w:val="000000"/>
          <w:lang w:val="en-US"/>
        </w:rPr>
        <w:t>mM</w:t>
      </w:r>
      <w:r w:rsidRPr="00BF3C5D">
        <w:rPr>
          <w:color w:val="000000"/>
          <w:lang w:val="en-US"/>
        </w:rPr>
        <w:t xml:space="preserve"> EDTA, 0.5 </w:t>
      </w:r>
      <w:r w:rsidRPr="008D1177">
        <w:rPr>
          <w:i/>
          <w:iCs/>
          <w:color w:val="000000"/>
          <w:lang w:val="en-US"/>
        </w:rPr>
        <w:t>mg/mL</w:t>
      </w:r>
      <w:r w:rsidRPr="00BF3C5D">
        <w:rPr>
          <w:color w:val="000000"/>
          <w:lang w:val="en-US"/>
        </w:rPr>
        <w:t xml:space="preserve"> BSA and </w:t>
      </w:r>
      <w:r w:rsidRPr="008D1177">
        <w:rPr>
          <w:i/>
          <w:iCs/>
          <w:color w:val="000000"/>
          <w:lang w:val="en-US"/>
        </w:rPr>
        <w:t>pH</w:t>
      </w:r>
      <w:r w:rsidRPr="00BF3C5D">
        <w:rPr>
          <w:color w:val="000000"/>
          <w:lang w:val="en-US"/>
        </w:rPr>
        <w:t xml:space="preserve"> = 7.4 for CB</w:t>
      </w:r>
      <w:r w:rsidRPr="00BF3C5D">
        <w:rPr>
          <w:color w:val="000000"/>
          <w:vertAlign w:val="subscript"/>
          <w:lang w:val="en-US"/>
        </w:rPr>
        <w:t>1</w:t>
      </w:r>
      <w:r w:rsidRPr="00BF3C5D">
        <w:rPr>
          <w:color w:val="000000"/>
          <w:lang w:val="en-US"/>
        </w:rPr>
        <w:t xml:space="preserve"> and 50 </w:t>
      </w:r>
      <w:r w:rsidRPr="008D1177">
        <w:rPr>
          <w:i/>
          <w:iCs/>
          <w:color w:val="000000"/>
          <w:lang w:val="en-US"/>
        </w:rPr>
        <w:t>mM</w:t>
      </w:r>
      <w:r w:rsidRPr="00BF3C5D">
        <w:rPr>
          <w:color w:val="000000"/>
          <w:lang w:val="en-US"/>
        </w:rPr>
        <w:t xml:space="preserve"> </w:t>
      </w:r>
      <w:proofErr w:type="spellStart"/>
      <w:r w:rsidRPr="00BF3C5D">
        <w:rPr>
          <w:color w:val="000000"/>
          <w:lang w:val="en-US"/>
        </w:rPr>
        <w:t>TrisCl</w:t>
      </w:r>
      <w:proofErr w:type="spellEnd"/>
      <w:r w:rsidRPr="00BF3C5D">
        <w:rPr>
          <w:color w:val="000000"/>
          <w:lang w:val="en-US"/>
        </w:rPr>
        <w:t xml:space="preserve">, 5 </w:t>
      </w:r>
      <w:r w:rsidRPr="008D1177">
        <w:rPr>
          <w:i/>
          <w:iCs/>
          <w:color w:val="000000"/>
          <w:lang w:val="en-US"/>
        </w:rPr>
        <w:t>mM</w:t>
      </w:r>
      <w:r w:rsidRPr="00BF3C5D">
        <w:rPr>
          <w:color w:val="000000"/>
          <w:lang w:val="en-US"/>
        </w:rPr>
        <w:t xml:space="preserve"> MgCl</w:t>
      </w:r>
      <w:r w:rsidRPr="00BF3C5D">
        <w:rPr>
          <w:color w:val="000000"/>
          <w:vertAlign w:val="subscript"/>
          <w:lang w:val="en-US"/>
        </w:rPr>
        <w:t>2</w:t>
      </w:r>
      <w:r w:rsidRPr="00BF3C5D">
        <w:rPr>
          <w:color w:val="000000"/>
          <w:lang w:val="en-US"/>
        </w:rPr>
        <w:t>.H</w:t>
      </w:r>
      <w:r w:rsidRPr="00BF3C5D">
        <w:rPr>
          <w:color w:val="000000"/>
          <w:vertAlign w:val="subscript"/>
          <w:lang w:val="en-US"/>
        </w:rPr>
        <w:t>2</w:t>
      </w:r>
      <w:r w:rsidRPr="00BF3C5D">
        <w:rPr>
          <w:color w:val="000000"/>
          <w:lang w:val="en-US"/>
        </w:rPr>
        <w:t xml:space="preserve">O, 2.5 </w:t>
      </w:r>
      <w:r w:rsidRPr="008D1177">
        <w:rPr>
          <w:i/>
          <w:iCs/>
          <w:color w:val="000000"/>
          <w:lang w:val="en-US"/>
        </w:rPr>
        <w:t>mM</w:t>
      </w:r>
      <w:r w:rsidRPr="00BF3C5D">
        <w:rPr>
          <w:color w:val="000000"/>
          <w:lang w:val="en-US"/>
        </w:rPr>
        <w:t xml:space="preserve"> EGTA, 1 </w:t>
      </w:r>
      <w:r w:rsidRPr="008D1177">
        <w:rPr>
          <w:i/>
          <w:iCs/>
          <w:color w:val="000000"/>
          <w:lang w:val="en-US"/>
        </w:rPr>
        <w:t xml:space="preserve">mg/mL </w:t>
      </w:r>
      <w:r w:rsidRPr="00BF3C5D">
        <w:rPr>
          <w:color w:val="000000"/>
          <w:lang w:val="en-US"/>
        </w:rPr>
        <w:t xml:space="preserve">BSA and </w:t>
      </w:r>
      <w:r w:rsidRPr="008D1177">
        <w:rPr>
          <w:i/>
          <w:iCs/>
          <w:color w:val="000000"/>
          <w:lang w:val="en-US"/>
        </w:rPr>
        <w:t>pH</w:t>
      </w:r>
      <w:r w:rsidRPr="00BF3C5D">
        <w:rPr>
          <w:color w:val="000000"/>
          <w:lang w:val="en-US"/>
        </w:rPr>
        <w:t xml:space="preserve"> = 7.5 for CB</w:t>
      </w:r>
      <w:r w:rsidRPr="00BF3C5D">
        <w:rPr>
          <w:color w:val="000000"/>
          <w:vertAlign w:val="subscript"/>
          <w:lang w:val="en-US"/>
        </w:rPr>
        <w:t>2</w:t>
      </w:r>
      <w:r w:rsidRPr="00BF3C5D">
        <w:rPr>
          <w:color w:val="000000"/>
          <w:lang w:val="en-US"/>
        </w:rPr>
        <w:t>)</w:t>
      </w:r>
      <w:r w:rsidRPr="00BF3C5D">
        <w:rPr>
          <w:lang w:val="en-US"/>
        </w:rPr>
        <w:t xml:space="preserve"> and were incubated with the radioligand and SR144528 for 90 min at 30°C. Non-specific binding was determined with 10 </w:t>
      </w:r>
      <w:r w:rsidRPr="008D1177">
        <w:rPr>
          <w:i/>
          <w:iCs/>
          <w:color w:val="000000" w:themeColor="text1"/>
        </w:rPr>
        <w:t>μ</w:t>
      </w:r>
      <w:r w:rsidRPr="008D1177">
        <w:rPr>
          <w:i/>
          <w:iCs/>
          <w:color w:val="000000" w:themeColor="text1"/>
          <w:lang w:val="en-US"/>
        </w:rPr>
        <w:t>M</w:t>
      </w:r>
      <w:r w:rsidRPr="00562846">
        <w:rPr>
          <w:color w:val="000000" w:themeColor="text1"/>
          <w:lang w:val="en-US"/>
        </w:rPr>
        <w:t xml:space="preserve"> WIN55212-2, a </w:t>
      </w:r>
      <w:bookmarkStart w:id="3" w:name="_Hlk98343027"/>
      <w:r w:rsidRPr="00562846">
        <w:rPr>
          <w:color w:val="000000" w:themeColor="text1"/>
          <w:lang w:val="en-US"/>
        </w:rPr>
        <w:t>well-known CB</w:t>
      </w:r>
      <w:r w:rsidRPr="00562846">
        <w:rPr>
          <w:color w:val="000000" w:themeColor="text1"/>
          <w:vertAlign w:val="subscript"/>
          <w:lang w:val="en-US"/>
        </w:rPr>
        <w:t>1</w:t>
      </w:r>
      <w:r w:rsidRPr="00562846">
        <w:rPr>
          <w:color w:val="000000" w:themeColor="text1"/>
          <w:lang w:val="en-US"/>
        </w:rPr>
        <w:t>/CB</w:t>
      </w:r>
      <w:r w:rsidRPr="00562846">
        <w:rPr>
          <w:color w:val="000000" w:themeColor="text1"/>
          <w:vertAlign w:val="subscript"/>
          <w:lang w:val="en-US"/>
        </w:rPr>
        <w:t>2</w:t>
      </w:r>
      <w:r w:rsidRPr="00562846">
        <w:rPr>
          <w:color w:val="000000" w:themeColor="text1"/>
          <w:lang w:val="en-US"/>
        </w:rPr>
        <w:t xml:space="preserve"> agonist</w:t>
      </w:r>
      <w:r w:rsidR="00D4480D" w:rsidRPr="00562846">
        <w:rPr>
          <w:color w:val="000000" w:themeColor="text1"/>
          <w:lang w:val="en-US"/>
        </w:rPr>
        <w:t xml:space="preserve"> (</w:t>
      </w:r>
      <w:commentRangeStart w:id="4"/>
      <w:r w:rsidR="003F6C97" w:rsidRPr="008D1177">
        <w:rPr>
          <w:i/>
          <w:iCs/>
          <w:color w:val="000000" w:themeColor="text1"/>
          <w:lang w:val="en-US"/>
        </w:rPr>
        <w:t>Ki</w:t>
      </w:r>
      <w:r w:rsidR="003F6C97" w:rsidRPr="00562846">
        <w:rPr>
          <w:color w:val="000000" w:themeColor="text1"/>
          <w:lang w:val="en-US"/>
        </w:rPr>
        <w:t xml:space="preserve"> </w:t>
      </w:r>
      <w:commentRangeEnd w:id="4"/>
      <w:r w:rsidR="00B825AF" w:rsidRPr="00562846">
        <w:rPr>
          <w:rStyle w:val="CommentReference"/>
          <w:rFonts w:ascii="Calibri" w:eastAsia="Calibri" w:hAnsi="Calibri" w:cs="Calibri"/>
          <w:lang w:bidi="es-ES"/>
        </w:rPr>
        <w:commentReference w:id="4"/>
      </w:r>
      <w:r w:rsidR="003F6C97" w:rsidRPr="00562846">
        <w:rPr>
          <w:color w:val="000000" w:themeColor="text1"/>
          <w:lang w:val="en-US"/>
        </w:rPr>
        <w:t>CB</w:t>
      </w:r>
      <w:r w:rsidR="003F6C97" w:rsidRPr="00562846">
        <w:rPr>
          <w:color w:val="000000" w:themeColor="text1"/>
          <w:vertAlign w:val="subscript"/>
          <w:lang w:val="en-US"/>
        </w:rPr>
        <w:t>1</w:t>
      </w:r>
      <w:r w:rsidR="003F6C97" w:rsidRPr="00562846">
        <w:rPr>
          <w:color w:val="000000" w:themeColor="text1"/>
          <w:lang w:val="en-US"/>
        </w:rPr>
        <w:t xml:space="preserve"> = 9,9 </w:t>
      </w:r>
      <w:proofErr w:type="spellStart"/>
      <w:r w:rsidR="003F6C97" w:rsidRPr="008D1177">
        <w:rPr>
          <w:i/>
          <w:iCs/>
          <w:color w:val="000000" w:themeColor="text1"/>
          <w:lang w:val="en-US"/>
        </w:rPr>
        <w:t>nM</w:t>
      </w:r>
      <w:proofErr w:type="spellEnd"/>
      <w:r w:rsidR="003F6C97" w:rsidRPr="00562846">
        <w:rPr>
          <w:color w:val="000000" w:themeColor="text1"/>
          <w:lang w:val="en-US"/>
        </w:rPr>
        <w:t xml:space="preserve">, </w:t>
      </w:r>
      <w:r w:rsidR="003F6C97" w:rsidRPr="008D1177">
        <w:rPr>
          <w:i/>
          <w:iCs/>
          <w:color w:val="000000" w:themeColor="text1"/>
          <w:lang w:val="en-US"/>
        </w:rPr>
        <w:t>Ki</w:t>
      </w:r>
      <w:r w:rsidR="003F6C97" w:rsidRPr="00562846">
        <w:rPr>
          <w:color w:val="000000" w:themeColor="text1"/>
          <w:lang w:val="en-US"/>
        </w:rPr>
        <w:t xml:space="preserve"> CB</w:t>
      </w:r>
      <w:r w:rsidR="003F6C97" w:rsidRPr="00562846">
        <w:rPr>
          <w:color w:val="000000" w:themeColor="text1"/>
          <w:vertAlign w:val="subscript"/>
          <w:lang w:val="en-US"/>
        </w:rPr>
        <w:t>2</w:t>
      </w:r>
      <w:r w:rsidR="003F6C97" w:rsidRPr="00562846">
        <w:rPr>
          <w:color w:val="000000" w:themeColor="text1"/>
          <w:lang w:val="en-US"/>
        </w:rPr>
        <w:t xml:space="preserve"> = 16.2 </w:t>
      </w:r>
      <w:r w:rsidR="003F6C97" w:rsidRPr="008D1177">
        <w:rPr>
          <w:i/>
          <w:iCs/>
          <w:color w:val="000000" w:themeColor="text1"/>
          <w:lang w:val="en-US"/>
        </w:rPr>
        <w:t>nM</w:t>
      </w:r>
      <w:r w:rsidR="005F195E" w:rsidRPr="00562846">
        <w:rPr>
          <w:color w:val="000000" w:themeColor="text1"/>
          <w:lang w:val="en-US"/>
        </w:rPr>
        <w:t>)</w:t>
      </w:r>
      <w:r w:rsidR="003F6C97" w:rsidRPr="00562846">
        <w:rPr>
          <w:color w:val="000000" w:themeColor="text1"/>
          <w:lang w:val="en-US"/>
        </w:rPr>
        <w:t xml:space="preserve"> </w:t>
      </w:r>
      <w:r w:rsidR="003F6C97" w:rsidRPr="00562846">
        <w:rPr>
          <w:color w:val="000000" w:themeColor="text1"/>
          <w:lang w:val="en-US"/>
        </w:rPr>
        <w:fldChar w:fldCharType="begin" w:fldLock="1"/>
      </w:r>
      <w:r w:rsidR="008250C4" w:rsidRPr="00562846">
        <w:rPr>
          <w:color w:val="000000" w:themeColor="text1"/>
          <w:lang w:val="en-US"/>
        </w:rPr>
        <w:instrText>ADDIN CSL_CITATION {"citationItems":[{"id":"ITEM-1","itemData":{"DOI":"10.1016/0014-5793(94)00773-X","ISSN":"0014-5793","PMID":"8070571","abstract":"SR141716A is the first selective and orally active antagonist of the brain cannabinoid receptor. This compound displays nanomolar affinity for the central cannabinoid receptor but is not active on the peripheral cannabinoid receptor. In vitro, SR141716A antagonises the inhibitory effects of cannabinoid receptor agonists on both mouse vas deferens contractions and adenylyl cyclase activity in rat brain membranes. After intraperitoneal or oral administration SR141716A antagonises classical pharmacological and behavioural effects of cannabinoid receptor agonists. This compound should prove to be a powerful tool for investigating the in vivo functions of the anandamide/cannabinoid system. © 1994.","author":[{"dropping-particle":"","family":"Rinaldi-Carmona","given":"Murielle","non-dropping-particle":"","parse-names":false,"suffix":""},{"dropping-particle":"","family":"Barth","given":"Francis","non-dropping-particle":"","parse-names":false,"suffix":""},{"dropping-particle":"","family":"Héaulme","given":"Michel","non-dropping-particle":"","parse-names":false,"suffix":""},{"dropping-particle":"","family":"Shire","given":"David","non-dropping-particle":"","parse-names":false,"suffix":""},{"dropping-particle":"","family":"Calandra","given":"Bernard","non-dropping-particle":"","parse-names":false,"suffix":""},{"dropping-particle":"","family":"Congy","given":"Christian","non-dropping-particle":"","parse-names":false,"suffix":""},{"dropping-particle":"","family":"Martinez","given":"Serge","non-dropping-particle":"","parse-names":false,"suffix":""},{"dropping-particle":"","family":"Maruani","given":"Jeanne","non-dropping-particle":"","parse-names":false,"suffix":""},{"dropping-particle":"","family":"Néliat","given":"Gervais","non-dropping-particle":"","parse-names":false,"suffix":""},{"dropping-particle":"","family":"Caput","given":"Daniel","non-dropping-particle":"","parse-names":false,"suffix":""},{"dropping-particle":"","family":"Ferrara","given":"Pascual","non-dropping-particle":"","parse-names":false,"suffix":""},{"dropping-particle":"","family":"Soubrié","given":"Philippe","non-dropping-particle":"","parse-names":false,"suffix":""},{"dropping-particle":"","family":"Brelière","given":"Jean Claude","non-dropping-particle":"","parse-names":false,"suffix":""},{"dropping-particle":"","family":"Fur","given":"Gérard","non-dropping-particle":"Le","parse-names":false,"suffix":""}],"container-title":"FEBS letters","id":"ITEM-1","issue":"2-3","issued":{"date-parts":[["1994","8","22"]]},"page":"240-244","publisher":"FEBS Lett","title":"SR141716A, a potent and selective antagonist of the brain cannabinoid receptor","type":"article-journal","volume":"350"},"uris":["http://www.mendeley.com/documents/?uuid=b1e9e83d-f492-31e8-a178-3e32d847708a"]}],"mendeley":{"formattedCitation":"(Rinaldi-Carmona et al., 1994)","plainTextFormattedCitation":"(Rinaldi-Carmona et al., 1994)","previouslyFormattedCitation":"(Rinaldi-Carmona et al., 1994)"},"properties":{"noteIndex":0},"schema":"https://github.com/citation-style-language/schema/raw/master/csl-citation.json"}</w:instrText>
      </w:r>
      <w:r w:rsidR="003F6C97" w:rsidRPr="00562846">
        <w:rPr>
          <w:color w:val="000000" w:themeColor="text1"/>
          <w:lang w:val="en-US"/>
        </w:rPr>
        <w:fldChar w:fldCharType="separate"/>
      </w:r>
      <w:r w:rsidR="003F6C97" w:rsidRPr="00562846">
        <w:rPr>
          <w:noProof/>
          <w:color w:val="000000" w:themeColor="text1"/>
          <w:lang w:val="en-US"/>
        </w:rPr>
        <w:t>(Rinaldi-Carmona et al., 1994)</w:t>
      </w:r>
      <w:r w:rsidR="003F6C97" w:rsidRPr="00562846">
        <w:rPr>
          <w:color w:val="000000" w:themeColor="text1"/>
          <w:lang w:val="en-US"/>
        </w:rPr>
        <w:fldChar w:fldCharType="end"/>
      </w:r>
      <w:r w:rsidR="008B716B" w:rsidRPr="00562846">
        <w:rPr>
          <w:color w:val="000000" w:themeColor="text1"/>
          <w:lang w:val="en-US"/>
        </w:rPr>
        <w:t xml:space="preserve"> </w:t>
      </w:r>
      <w:r w:rsidR="00452FDF" w:rsidRPr="00562846">
        <w:rPr>
          <w:color w:val="000000" w:themeColor="text1"/>
          <w:lang w:val="en-US"/>
        </w:rPr>
        <w:t xml:space="preserve">used as </w:t>
      </w:r>
      <w:r w:rsidR="0029713F" w:rsidRPr="00562846">
        <w:rPr>
          <w:color w:val="000000" w:themeColor="text1"/>
          <w:lang w:val="en-US"/>
        </w:rPr>
        <w:t>reference compound to determine non-specific binding</w:t>
      </w:r>
      <w:r w:rsidR="00452FDF" w:rsidRPr="00562846">
        <w:rPr>
          <w:color w:val="000000" w:themeColor="text1"/>
          <w:lang w:val="en-US"/>
        </w:rPr>
        <w:t xml:space="preserve"> in </w:t>
      </w:r>
      <w:r w:rsidR="0029713F" w:rsidRPr="00562846">
        <w:rPr>
          <w:color w:val="000000" w:themeColor="text1"/>
          <w:lang w:val="en-US"/>
        </w:rPr>
        <w:t xml:space="preserve">the laboratory </w:t>
      </w:r>
      <w:r w:rsidR="00452FDF" w:rsidRPr="00562846">
        <w:rPr>
          <w:color w:val="000000" w:themeColor="text1"/>
          <w:lang w:val="en-US"/>
        </w:rPr>
        <w:t>radioligand binding assays protocols for CB</w:t>
      </w:r>
      <w:r w:rsidR="00452FDF" w:rsidRPr="00562846">
        <w:rPr>
          <w:color w:val="000000" w:themeColor="text1"/>
          <w:vertAlign w:val="subscript"/>
          <w:lang w:val="en-US"/>
        </w:rPr>
        <w:t>1</w:t>
      </w:r>
      <w:r w:rsidR="00452FDF" w:rsidRPr="00562846">
        <w:rPr>
          <w:color w:val="000000" w:themeColor="text1"/>
          <w:lang w:val="en-US"/>
        </w:rPr>
        <w:t xml:space="preserve"> and CB</w:t>
      </w:r>
      <w:r w:rsidR="00452FDF" w:rsidRPr="00562846">
        <w:rPr>
          <w:color w:val="000000" w:themeColor="text1"/>
          <w:vertAlign w:val="subscript"/>
          <w:lang w:val="en-US"/>
        </w:rPr>
        <w:t>2</w:t>
      </w:r>
      <w:r w:rsidR="00452FDF" w:rsidRPr="00562846">
        <w:rPr>
          <w:color w:val="000000" w:themeColor="text1"/>
          <w:lang w:val="en-US"/>
        </w:rPr>
        <w:t xml:space="preserve"> receptors </w:t>
      </w:r>
      <w:r w:rsidR="008250C4" w:rsidRPr="00562846">
        <w:rPr>
          <w:color w:val="000000" w:themeColor="text1"/>
          <w:lang w:val="en-US"/>
        </w:rPr>
        <w:fldChar w:fldCharType="begin" w:fldLock="1"/>
      </w:r>
      <w:r w:rsidR="008250C4" w:rsidRPr="00562846">
        <w:rPr>
          <w:color w:val="000000" w:themeColor="text1"/>
          <w:lang w:val="en-US"/>
        </w:rPr>
        <w:instrText>ADDIN CSL_CITATION {"citationItems":[{"id":"ITEM-1","itemData":{"DOI":"10.1002/cmdc.201100568","ISSN":"18607179","PMID":"22302767","abstract":"The unwanted psychoactive effects of cannabinoid receptor agonists have limited their development as medicines. These CB₁-mediated side effects are due to the fact that CB₁ receptors are largely expressed in the central nervous system (CNS). As it is known that CB₁ receptors are also located peripherally, there is growing interest in targeting cannabinoid receptors located outside the brain. A library of chromenopyrazoles designed analogously to the classical cannabinoid cannabinol were synthesized, characterized, and tested for cannabinoid activity. Radioligand binding assays were used to determine their affinities at CB₁ and CB₂ receptors. Structural features required for CB₁/CB₂ affinity and selectivity were explored by molecular modeling. Some compounds in the chromenopyrazole series were observed to be selective CB₁ ligands. These modeling studies suggest that full CB₁ selectivity over CB₂ can be explained by the presence of a pyrazole ring in the structure. The functional activities of selected chromenopyrazoles were evaluated in isolated tissues. In vivo behavioral tests were then carried out on the most effective CB₁ cannabinoid agonist, 13 a. Chromenopyrazole 13 a did not induce modifications in any of the tested parameters on the mouse cannabinoid tetrad, thus discounting CNS-mediated effects. This lack of agonistic activity in the CNS suggests that this compound does not readily cross the blood-brain barrier. Moreover, 13 a can induce antinociception in a rat peripheral model of orofacial pain. Taking into account the negative results obtained with the hot-plate test, the antinociception induced by 13 a in the orofacial test could be mediated through peripheral mechanisms.","author":[{"dropping-particle":"","family":"Cumella","given":"Jose","non-dropping-particle":"","parse-names":false,"suffix":""},{"dropping-particle":"","family":"Hernández-Folgado","given":"Laura","non-dropping-particle":"","parse-names":false,"suffix":""},{"dropping-particle":"","family":"Girón","given":"Rocio","non-dropping-particle":"","parse-names":false,"suffix":""},{"dropping-particle":"","family":"Sánchez","given":"Eva","non-dropping-particle":"","parse-names":false,"suffix":""},{"dropping-particle":"","family":"Morales","given":"Paula","non-dropping-particle":"","parse-names":false,"suffix":""},{"dropping-particle":"","family":"Hurst","given":"Dow P","non-dropping-particle":"","parse-names":false,"suffix":""},{"dropping-particle":"","family":"Gómez-Cañas","given":"Maria","non-dropping-particle":"","parse-names":false,"suffix":""},{"dropping-particle":"","family":"Gómez-Ruiz","given":"Maria","non-dropping-particle":"","parse-names":false,"suffix":""},{"dropping-particle":"","family":"Pinto","given":"Diana C G A","non-dropping-particle":"","parse-names":false,"suffix":""},{"dropping-particle":"","family":"Goya","given":"Pilar","non-dropping-particle":"","parse-names":false,"suffix":""},{"dropping-particle":"","family":"Reggio","given":"Patricia H","non-dropping-particle":"","parse-names":false,"suffix":""},{"dropping-particle":"","family":"Martin","given":"María Isabel","non-dropping-particle":"","parse-names":false,"suffix":""},{"dropping-particle":"","family":"Fernández-Ruiz","given":"Javier","non-dropping-particle":"","parse-names":false,"suffix":""},{"dropping-particle":"","family":"Silva","given":"Artur M S","non-dropping-particle":"","parse-names":false,"suffix":""},{"dropping-particle":"","family":"Jagerovic","given":"Nadine","non-dropping-particle":"","parse-names":false,"suffix":""}],"container-title":"ChemMedChem","id":"ITEM-1","issue":"3","issued":{"date-parts":[["2012"]]},"page":"452-463","title":"Chromenopyrazoles: Non-psychoactive and Selective CB 1 Cannabinoid Agonists with Peripheral Antinociceptive Properties","type":"article-journal","volume":"7"},"uris":["http://www.mendeley.com/documents/?uuid=29934776-80a3-3e14-a4c7-a583548a1470"]},{"id":"ITEM-2","itemData":{"DOI":"10.1016/J.EJMECH.2016.02.005","ISSN":"0223-5234","abstract":"Previous studies have investigated the relevance and structure-activity relationships (SARs) of pyrazole derivatives in relation with cannabinoid receptors, and the series of tricyclic 1,4-dihydroindeno[1,2-c]pyrazoles emerged as potent CB2 receptor ligands. In the present study, novel 1,4-dihydroindeno[1,2-c]pyrazole and 1H-benzo[g]indazole carboxamides containing a cyclopropyl or a cyclohexyl substituent were designed and synthesized to evaluate the influence of these structural modifications towards CB1 and CB2 receptor affinities. Among these derivatives, compound 15 (6-cyclopropyl-1-(2,4-dichlorophenyl)-N-(adamantan-1-yl)-1,4-dihydroindeno[1,2-c]pyrazole-3-carboxamide) showed the highest CB2 receptor affinity (Ki = 4 nM) and remarkable selectivity (KiCB1/KiCB2 = 2232), whereas a similar affinity, within the nM range, was seen for the fenchyl derivative (compound 10: Ki = 6 nM), for the bornyl analogue (compound 14: Ki = 38 nM) and, to a lesser extent, for the aminopiperidine derivative (compound 6: Ki = 69 nM). Compounds 10 and 14 were also highly selective for the CB2 receptor (KiCB1/KiCB2  1000), whereas compound 6 was relatively selective (KiCB1/KiCB2 = 27). The four compounds were also subjected to GTPγS binding analysis showing antagonist/inverse agonist properties (IC50 for compound 14 = 27 nM, for 15 = 51 nM, for 10 = 80 nM and for 6 = 294 nM), and this activity was confirmed for the three more active compounds in a CB2 receptor-specific in vitro bioassay consisting in the quantification of prostaglandin E2 release by LPS-stimulated BV2 cells, in the presence and absence of WIN55,212-2 and/or the investigated compounds. Modelling studies were also conducted with the four compounds, which conformed with the structural requirements stated for the binding of antagonist compounds to the human CB2 receptor.","author":[{"dropping-particle":"","family":"Deiana","given":"Valeria","non-dropping-particle":"","parse-names":false,"suffix":""},{"dropping-particle":"","family":"Gómez-Cañas","given":"María","non-dropping-particle":"","parse-names":false,"suffix":""},{"dropping-particle":"","family":"Pazos","given":"M Ruth","non-dropping-particle":"","parse-names":false,"suffix":""},{"dropping-particle":"","family":"Fernández-Ruiz","given":"Javier","non-dropping-particle":"","parse-names":false,"suffix":""},{"dropping-particle":"","family":"Asproni","given":"Battistina","non-dropping-particle":"","parse-names":false,"suffix":""},{"dropping-particle":"","family":"Cichero","given":"Elena","non-dropping-particle":"","parse-names":false,"suffix":""},{"dropping-particle":"","family":"Fossa","given":"Paola","non-dropping-particle":"","parse-names":false,"suffix":""},{"dropping-particle":"","family":"Muñoz","given":"Eduardo","non-dropping-particle":"","parse-names":false,"suffix":""},{"dropping-particle":"","family":"Deligia","given":"Francesco","non-dropping-particle":"","parse-names":false,"suffix":""},{"dropping-particle":"","family":"Murineddu","given":"Gabriele","non-dropping-particle":"","parse-names":false,"suffix":""},{"dropping-particle":"","family":"García-Arencibia","given":"Moisés","non-dropping-particle":"","parse-names":false,"suffix":""},{"dropping-particle":"","family":"Pinna","given":"Gerard A","non-dropping-particle":"","parse-names":false,"suffix":""}],"container-title":"European Journal of Medicinal Chemistry","id":"ITEM-2","issued":{"date-parts":[["2016"]]},"page":"66-80","publisher":"Elsevier Masson","title":"Tricyclic pyrazoles. Part 8. Synthesis, biological evaluation and modelling of tricyclic pyrazole carboxamides as potential CB2 receptor ligands with antagonist/inverse agonist properties","type":"article-journal","volume":"112"},"uris":["http://www.mendeley.com/documents/?uuid=a03df065-bc90-341a-ad40-57df8cf52525"]}],"mendeley":{"formattedCitation":"(Cumella et al., 2012; Deiana et al., 2016)","plainTextFormattedCitation":"(Cumella et al., 2012; Deiana et al., 2016)"},"properties":{"noteIndex":0},"schema":"https://github.com/citation-style-language/schema/raw/master/csl-citation.json"}</w:instrText>
      </w:r>
      <w:r w:rsidR="008250C4" w:rsidRPr="00562846">
        <w:rPr>
          <w:color w:val="000000" w:themeColor="text1"/>
          <w:lang w:val="en-US"/>
        </w:rPr>
        <w:fldChar w:fldCharType="separate"/>
      </w:r>
      <w:r w:rsidR="008250C4" w:rsidRPr="00562846">
        <w:rPr>
          <w:noProof/>
          <w:color w:val="000000" w:themeColor="text1"/>
          <w:lang w:val="en-US"/>
        </w:rPr>
        <w:t>(Cumella et al., 2012; Deiana et al., 2016)</w:t>
      </w:r>
      <w:r w:rsidR="008250C4" w:rsidRPr="00562846">
        <w:rPr>
          <w:color w:val="000000" w:themeColor="text1"/>
          <w:lang w:val="en-US"/>
        </w:rPr>
        <w:fldChar w:fldCharType="end"/>
      </w:r>
      <w:r w:rsidR="00452FDF" w:rsidRPr="00562846">
        <w:rPr>
          <w:color w:val="000000" w:themeColor="text1"/>
          <w:lang w:val="en-US"/>
        </w:rPr>
        <w:t>.</w:t>
      </w:r>
    </w:p>
    <w:bookmarkEnd w:id="3"/>
    <w:p w14:paraId="4B62B7D7" w14:textId="10025561" w:rsidR="0087757B" w:rsidRPr="00BF3C5D" w:rsidRDefault="0087757B" w:rsidP="00BF3C5D">
      <w:pPr>
        <w:pStyle w:val="p"/>
        <w:shd w:val="clear" w:color="auto" w:fill="FFFFFF"/>
        <w:spacing w:before="120" w:beforeAutospacing="0" w:after="120" w:afterAutospacing="0" w:line="360" w:lineRule="auto"/>
        <w:jc w:val="both"/>
        <w:rPr>
          <w:lang w:val="en-US"/>
        </w:rPr>
      </w:pPr>
      <w:r w:rsidRPr="00BF3C5D">
        <w:rPr>
          <w:lang w:val="en-US"/>
        </w:rPr>
        <w:t xml:space="preserve">Total radioligand binding to the membrane was determined by its incubation with the membranes in absence of any compound. Filtration was performed by a Harvester® </w:t>
      </w:r>
      <w:proofErr w:type="spellStart"/>
      <w:r w:rsidRPr="00BF3C5D">
        <w:rPr>
          <w:lang w:val="en-US"/>
        </w:rPr>
        <w:t>filtermate</w:t>
      </w:r>
      <w:proofErr w:type="spellEnd"/>
      <w:r w:rsidRPr="00BF3C5D">
        <w:rPr>
          <w:lang w:val="en-US"/>
        </w:rPr>
        <w:t xml:space="preserve"> (</w:t>
      </w:r>
      <w:proofErr w:type="gramStart"/>
      <w:r w:rsidRPr="00BF3C5D">
        <w:rPr>
          <w:lang w:val="en-US"/>
        </w:rPr>
        <w:t>Perkin-Elmer</w:t>
      </w:r>
      <w:proofErr w:type="gramEnd"/>
      <w:r w:rsidRPr="00BF3C5D">
        <w:rPr>
          <w:lang w:val="en-US"/>
        </w:rPr>
        <w:t xml:space="preserve">) with </w:t>
      </w:r>
      <w:proofErr w:type="spellStart"/>
      <w:r w:rsidRPr="00BF3C5D">
        <w:rPr>
          <w:lang w:val="en-US"/>
        </w:rPr>
        <w:t>Filtermat</w:t>
      </w:r>
      <w:proofErr w:type="spellEnd"/>
      <w:r w:rsidRPr="00BF3C5D">
        <w:rPr>
          <w:lang w:val="en-US"/>
        </w:rPr>
        <w:t xml:space="preserve"> A GF/C filters pretreated with </w:t>
      </w:r>
      <w:proofErr w:type="spellStart"/>
      <w:r w:rsidRPr="00BF3C5D">
        <w:rPr>
          <w:lang w:val="en-US"/>
        </w:rPr>
        <w:t>polyethylenimine</w:t>
      </w:r>
      <w:proofErr w:type="spellEnd"/>
      <w:r w:rsidRPr="00BF3C5D">
        <w:rPr>
          <w:lang w:val="en-US"/>
        </w:rPr>
        <w:t xml:space="preserve"> 0.05%. After filtering, the filter was washed nine times with binding buffer, dried and a melt-on scintillation sheet (Meltilex™ A, Perkin Elmer) was melted onto it. Then, radioactivity was quantified by a liquid scintillation spectrophotometer (</w:t>
      </w:r>
      <w:proofErr w:type="spellStart"/>
      <w:r w:rsidRPr="00BF3C5D">
        <w:rPr>
          <w:lang w:val="en-US"/>
        </w:rPr>
        <w:t>Wallac</w:t>
      </w:r>
      <w:proofErr w:type="spellEnd"/>
      <w:r w:rsidRPr="00BF3C5D">
        <w:rPr>
          <w:lang w:val="en-US"/>
        </w:rPr>
        <w:t xml:space="preserve"> </w:t>
      </w:r>
      <w:proofErr w:type="spellStart"/>
      <w:r w:rsidRPr="00BF3C5D">
        <w:rPr>
          <w:lang w:val="en-US"/>
        </w:rPr>
        <w:t>MicroBeta</w:t>
      </w:r>
      <w:proofErr w:type="spellEnd"/>
      <w:r w:rsidRPr="00BF3C5D">
        <w:rPr>
          <w:lang w:val="en-US"/>
        </w:rPr>
        <w:t xml:space="preserve"> </w:t>
      </w:r>
      <w:proofErr w:type="spellStart"/>
      <w:r w:rsidRPr="00BF3C5D">
        <w:rPr>
          <w:lang w:val="en-US"/>
        </w:rPr>
        <w:t>Trilux</w:t>
      </w:r>
      <w:proofErr w:type="spellEnd"/>
      <w:r w:rsidRPr="00BF3C5D">
        <w:rPr>
          <w:lang w:val="en-US"/>
        </w:rPr>
        <w:t xml:space="preserve">, </w:t>
      </w:r>
      <w:proofErr w:type="gramStart"/>
      <w:r w:rsidRPr="00BF3C5D">
        <w:rPr>
          <w:lang w:val="en-US"/>
        </w:rPr>
        <w:t>Perkin-Elmer</w:t>
      </w:r>
      <w:proofErr w:type="gramEnd"/>
      <w:r w:rsidRPr="00BF3C5D">
        <w:rPr>
          <w:lang w:val="en-US"/>
        </w:rPr>
        <w:t xml:space="preserve">). Competition binding data were analyzed by using </w:t>
      </w:r>
      <w:r w:rsidRPr="00BF3C5D">
        <w:rPr>
          <w:lang w:val="en-US"/>
        </w:rPr>
        <w:lastRenderedPageBreak/>
        <w:t>GraphPad Prism program and </w:t>
      </w:r>
      <w:r w:rsidRPr="00BF3C5D">
        <w:rPr>
          <w:rStyle w:val="Emphasis"/>
          <w:lang w:val="en-US"/>
        </w:rPr>
        <w:t>K</w:t>
      </w:r>
      <w:r w:rsidRPr="00BF3C5D">
        <w:rPr>
          <w:rStyle w:val="Emphasis"/>
          <w:vertAlign w:val="subscript"/>
          <w:lang w:val="en-US"/>
        </w:rPr>
        <w:t>i</w:t>
      </w:r>
      <w:r w:rsidRPr="00BF3C5D">
        <w:rPr>
          <w:lang w:val="en-US"/>
        </w:rPr>
        <w:t> values are expressed as mean ± SEM of at least three experiments performed in triplicate for each point.</w:t>
      </w:r>
    </w:p>
    <w:p w14:paraId="25337F29" w14:textId="77777777" w:rsidR="0087757B" w:rsidRPr="00BF3C5D" w:rsidRDefault="0087757B" w:rsidP="00C52E77">
      <w:pPr>
        <w:pStyle w:val="Heading2"/>
        <w:rPr>
          <w:lang w:val="en-US"/>
        </w:rPr>
      </w:pPr>
      <w:r w:rsidRPr="00BF3C5D">
        <w:rPr>
          <w:rFonts w:eastAsiaTheme="minorHAnsi"/>
          <w:lang w:val="en-US"/>
        </w:rPr>
        <w:t>[</w:t>
      </w:r>
      <w:r w:rsidRPr="00BF3C5D">
        <w:rPr>
          <w:rFonts w:eastAsiaTheme="minorHAnsi"/>
          <w:vertAlign w:val="superscript"/>
          <w:lang w:val="en-US"/>
        </w:rPr>
        <w:t>35</w:t>
      </w:r>
      <w:r w:rsidRPr="00BF3C5D">
        <w:rPr>
          <w:rFonts w:eastAsiaTheme="minorHAnsi"/>
          <w:lang w:val="en-US"/>
        </w:rPr>
        <w:t>S]-GTP</w:t>
      </w:r>
      <w:r w:rsidRPr="00BF3C5D">
        <w:rPr>
          <w:rFonts w:eastAsiaTheme="minorHAnsi"/>
          <w:lang w:eastAsia="en-US"/>
        </w:rPr>
        <w:t>γ</w:t>
      </w:r>
      <w:r w:rsidRPr="00BF3C5D">
        <w:rPr>
          <w:rFonts w:eastAsiaTheme="minorHAnsi"/>
          <w:lang w:val="en-US"/>
        </w:rPr>
        <w:t>S binding analysis</w:t>
      </w:r>
    </w:p>
    <w:p w14:paraId="43A20962" w14:textId="31BB178B" w:rsidR="0087757B" w:rsidRPr="00BF3C5D" w:rsidRDefault="0087757B" w:rsidP="00BF3C5D">
      <w:pPr>
        <w:pStyle w:val="p"/>
        <w:shd w:val="clear" w:color="auto" w:fill="FFFFFF"/>
        <w:spacing w:before="120" w:beforeAutospacing="0" w:after="120" w:afterAutospacing="0" w:line="360" w:lineRule="auto"/>
        <w:jc w:val="both"/>
        <w:rPr>
          <w:rFonts w:eastAsiaTheme="minorHAnsi"/>
          <w:lang w:val="en-US"/>
        </w:rPr>
      </w:pPr>
      <w:r w:rsidRPr="00BF3C5D">
        <w:rPr>
          <w:lang w:val="en-US"/>
        </w:rPr>
        <w:t>Once the binding assays performed, we proceeded to evaluate the functional activity of SR144528 at the CB</w:t>
      </w:r>
      <w:r w:rsidRPr="00BF3C5D">
        <w:rPr>
          <w:vertAlign w:val="subscript"/>
          <w:lang w:val="en-US"/>
        </w:rPr>
        <w:t>2</w:t>
      </w:r>
      <w:r w:rsidRPr="00BF3C5D">
        <w:rPr>
          <w:lang w:val="en-US"/>
        </w:rPr>
        <w:t xml:space="preserve"> receptor by carrying out [</w:t>
      </w:r>
      <w:r w:rsidRPr="00BF3C5D">
        <w:rPr>
          <w:vertAlign w:val="superscript"/>
          <w:lang w:val="en-US"/>
        </w:rPr>
        <w:t>35</w:t>
      </w:r>
      <w:r w:rsidRPr="00BF3C5D">
        <w:rPr>
          <w:lang w:val="en-US"/>
        </w:rPr>
        <w:t>S]-GTP</w:t>
      </w:r>
      <w:r w:rsidRPr="00BF3C5D">
        <w:rPr>
          <w:rFonts w:eastAsiaTheme="minorHAnsi"/>
          <w:lang w:eastAsia="en-US"/>
        </w:rPr>
        <w:t>γ</w:t>
      </w:r>
      <w:r w:rsidRPr="00BF3C5D">
        <w:rPr>
          <w:rFonts w:eastAsiaTheme="minorHAnsi"/>
          <w:lang w:val="en-US" w:eastAsia="en-US"/>
        </w:rPr>
        <w:t>S binding assays. To this end, CB</w:t>
      </w:r>
      <w:r w:rsidRPr="00BF3C5D">
        <w:rPr>
          <w:rFonts w:eastAsiaTheme="minorHAnsi"/>
          <w:vertAlign w:val="subscript"/>
          <w:lang w:val="en-US" w:eastAsia="en-US"/>
        </w:rPr>
        <w:t>2</w:t>
      </w:r>
      <w:r w:rsidRPr="00BF3C5D">
        <w:rPr>
          <w:rFonts w:eastAsiaTheme="minorHAnsi"/>
          <w:lang w:val="en-US" w:eastAsia="en-US"/>
        </w:rPr>
        <w:t xml:space="preserve"> receptor-containing membranes (HTS020M2, </w:t>
      </w:r>
      <w:r w:rsidRPr="00BF3C5D">
        <w:rPr>
          <w:lang w:val="en-US"/>
        </w:rPr>
        <w:t xml:space="preserve">Eurofins Discovery Services St. Charles, MO, EEUU) were used. These membranes (5 μg/well) were permeabilized by addition of saponin </w:t>
      </w:r>
      <w:r w:rsidRPr="00BF3C5D">
        <w:rPr>
          <w:rFonts w:eastAsiaTheme="minorHAnsi"/>
          <w:lang w:val="en-US" w:eastAsia="en-US"/>
        </w:rPr>
        <w:t xml:space="preserve">(1:1 v/v), then mixed with 0,3 </w:t>
      </w:r>
      <w:r w:rsidRPr="008D1177">
        <w:rPr>
          <w:rFonts w:eastAsiaTheme="minorHAnsi"/>
          <w:i/>
          <w:iCs/>
          <w:lang w:val="en-US" w:eastAsia="en-US"/>
        </w:rPr>
        <w:t>nM</w:t>
      </w:r>
      <w:r w:rsidRPr="00BF3C5D">
        <w:rPr>
          <w:rFonts w:eastAsiaTheme="minorHAnsi"/>
          <w:lang w:val="en-US" w:eastAsia="en-US"/>
        </w:rPr>
        <w:t xml:space="preserve"> </w:t>
      </w:r>
      <w:r w:rsidRPr="00BF3C5D">
        <w:rPr>
          <w:lang w:val="en-US"/>
        </w:rPr>
        <w:t>[</w:t>
      </w:r>
      <w:r w:rsidRPr="00BF3C5D">
        <w:rPr>
          <w:vertAlign w:val="superscript"/>
          <w:lang w:val="en-US"/>
        </w:rPr>
        <w:t>35</w:t>
      </w:r>
      <w:r w:rsidRPr="00BF3C5D">
        <w:rPr>
          <w:lang w:val="en-US"/>
        </w:rPr>
        <w:t>S]-GTP</w:t>
      </w:r>
      <w:r w:rsidRPr="00BF3C5D">
        <w:rPr>
          <w:rFonts w:eastAsiaTheme="minorHAnsi"/>
          <w:lang w:eastAsia="en-US"/>
        </w:rPr>
        <w:t>γ</w:t>
      </w:r>
      <w:r w:rsidRPr="00BF3C5D">
        <w:rPr>
          <w:rFonts w:eastAsiaTheme="minorHAnsi"/>
          <w:lang w:val="en-US" w:eastAsia="en-US"/>
        </w:rPr>
        <w:t>S (</w:t>
      </w:r>
      <w:proofErr w:type="gramStart"/>
      <w:r w:rsidRPr="00BF3C5D">
        <w:rPr>
          <w:rFonts w:eastAsiaTheme="minorHAnsi"/>
          <w:lang w:val="en-US" w:eastAsia="en-US"/>
        </w:rPr>
        <w:t>Perkin-Elmer</w:t>
      </w:r>
      <w:proofErr w:type="gramEnd"/>
      <w:r w:rsidRPr="00BF3C5D">
        <w:rPr>
          <w:rFonts w:eastAsiaTheme="minorHAnsi"/>
          <w:lang w:val="en-US" w:eastAsia="en-US"/>
        </w:rPr>
        <w:t xml:space="preserve">) and 10 </w:t>
      </w:r>
      <w:r w:rsidRPr="008D1177">
        <w:rPr>
          <w:rFonts w:eastAsiaTheme="minorHAnsi"/>
          <w:i/>
          <w:iCs/>
          <w:lang w:eastAsia="en-US"/>
        </w:rPr>
        <w:t>μ</w:t>
      </w:r>
      <w:r w:rsidRPr="008D1177">
        <w:rPr>
          <w:rFonts w:eastAsiaTheme="minorHAnsi"/>
          <w:i/>
          <w:iCs/>
          <w:lang w:val="en-US" w:eastAsia="en-US"/>
        </w:rPr>
        <w:t>M</w:t>
      </w:r>
      <w:r w:rsidRPr="00BF3C5D">
        <w:rPr>
          <w:rFonts w:eastAsiaTheme="minorHAnsi"/>
          <w:lang w:val="en-US" w:eastAsia="en-US"/>
        </w:rPr>
        <w:t xml:space="preserve"> GDP (Sigma-Aldrich) in 20 </w:t>
      </w:r>
      <w:r w:rsidRPr="008D1177">
        <w:rPr>
          <w:rFonts w:eastAsiaTheme="minorHAnsi"/>
          <w:i/>
          <w:iCs/>
          <w:lang w:val="en-US" w:eastAsia="en-US"/>
        </w:rPr>
        <w:t>mM</w:t>
      </w:r>
      <w:r w:rsidRPr="00BF3C5D">
        <w:rPr>
          <w:rFonts w:eastAsiaTheme="minorHAnsi"/>
          <w:lang w:val="en-US" w:eastAsia="en-US"/>
        </w:rPr>
        <w:t xml:space="preserve"> HEPES buffer (10mM MgCl2, 10</w:t>
      </w:r>
      <w:r w:rsidR="004D5FDE">
        <w:rPr>
          <w:rFonts w:eastAsiaTheme="minorHAnsi"/>
          <w:lang w:val="en-US" w:eastAsia="en-US"/>
        </w:rPr>
        <w:t xml:space="preserve"> </w:t>
      </w:r>
      <w:r w:rsidRPr="008D1177">
        <w:rPr>
          <w:rFonts w:eastAsiaTheme="minorHAnsi"/>
          <w:i/>
          <w:iCs/>
          <w:lang w:val="en-US" w:eastAsia="en-US"/>
        </w:rPr>
        <w:t>mM</w:t>
      </w:r>
      <w:r w:rsidRPr="00BF3C5D">
        <w:rPr>
          <w:rFonts w:eastAsiaTheme="minorHAnsi"/>
          <w:lang w:val="en-US" w:eastAsia="en-US"/>
        </w:rPr>
        <w:t xml:space="preserve"> NaCl, pH 7.4). </w:t>
      </w:r>
      <w:r w:rsidRPr="00BF3C5D">
        <w:rPr>
          <w:rFonts w:eastAsiaTheme="minorHAnsi"/>
          <w:lang w:val="en-US"/>
        </w:rPr>
        <w:t>Increasing concentrations of SR144528, from 10</w:t>
      </w:r>
      <w:r w:rsidRPr="00BF3C5D">
        <w:rPr>
          <w:rFonts w:eastAsiaTheme="minorHAnsi"/>
          <w:vertAlign w:val="superscript"/>
          <w:lang w:val="en-US"/>
        </w:rPr>
        <w:t>-11</w:t>
      </w:r>
      <w:r w:rsidRPr="00BF3C5D">
        <w:rPr>
          <w:rFonts w:eastAsiaTheme="minorHAnsi"/>
          <w:lang w:val="en-US"/>
        </w:rPr>
        <w:t xml:space="preserve"> to 10</w:t>
      </w:r>
      <w:r w:rsidRPr="00BF3C5D">
        <w:rPr>
          <w:rFonts w:eastAsiaTheme="minorHAnsi"/>
          <w:vertAlign w:val="superscript"/>
          <w:lang w:val="en-US"/>
        </w:rPr>
        <w:t>-4</w:t>
      </w:r>
      <w:r w:rsidRPr="00BF3C5D">
        <w:rPr>
          <w:rFonts w:eastAsiaTheme="minorHAnsi"/>
          <w:lang w:val="en-US"/>
        </w:rPr>
        <w:t xml:space="preserve"> </w:t>
      </w:r>
      <w:r w:rsidRPr="008D1177">
        <w:rPr>
          <w:rFonts w:eastAsiaTheme="minorHAnsi"/>
          <w:i/>
          <w:iCs/>
          <w:lang w:val="en-US"/>
        </w:rPr>
        <w:t>M</w:t>
      </w:r>
      <w:r w:rsidRPr="00BF3C5D">
        <w:rPr>
          <w:rFonts w:eastAsiaTheme="minorHAnsi"/>
          <w:lang w:val="en-US"/>
        </w:rPr>
        <w:t xml:space="preserve">, were added in a final volume of 100 </w:t>
      </w:r>
      <w:r w:rsidRPr="008D1177">
        <w:rPr>
          <w:rFonts w:eastAsiaTheme="minorHAnsi"/>
          <w:i/>
          <w:iCs/>
          <w:lang w:val="en-US"/>
        </w:rPr>
        <w:t>µL</w:t>
      </w:r>
      <w:r w:rsidRPr="00BF3C5D">
        <w:rPr>
          <w:rFonts w:eastAsiaTheme="minorHAnsi"/>
          <w:lang w:val="en-US"/>
        </w:rPr>
        <w:t xml:space="preserve"> and incubated for 30 min at 30ºC. The non-specific signal was measured with 10 </w:t>
      </w:r>
      <w:r w:rsidRPr="008D1177">
        <w:rPr>
          <w:rFonts w:eastAsiaTheme="minorHAnsi"/>
          <w:i/>
          <w:iCs/>
          <w:lang w:val="en-US"/>
        </w:rPr>
        <w:t>µM</w:t>
      </w:r>
      <w:r w:rsidRPr="00BF3C5D">
        <w:rPr>
          <w:rFonts w:eastAsiaTheme="minorHAnsi"/>
          <w:lang w:val="en-US"/>
        </w:rPr>
        <w:t xml:space="preserve"> non-labeled GTP</w:t>
      </w:r>
      <w:r w:rsidRPr="00BF3C5D">
        <w:rPr>
          <w:rFonts w:eastAsiaTheme="minorHAnsi"/>
          <w:lang w:eastAsia="en-US"/>
        </w:rPr>
        <w:t>γ</w:t>
      </w:r>
      <w:r w:rsidRPr="00BF3C5D">
        <w:rPr>
          <w:rFonts w:eastAsiaTheme="minorHAnsi"/>
          <w:lang w:val="en-US" w:eastAsia="en-US"/>
        </w:rPr>
        <w:t>S</w:t>
      </w:r>
      <w:r w:rsidRPr="00BF3C5D">
        <w:rPr>
          <w:rFonts w:eastAsiaTheme="minorHAnsi"/>
          <w:lang w:val="en-US"/>
        </w:rPr>
        <w:t xml:space="preserve"> (Sigma-Aldrich). All 96-well plates and the tubes necessary for the experiment were previously siliconized with Sigmacote (Sigma-Aldrich). The reaction was terminated by rapid vacuum filtration with a filter mate Harvester apparatus (</w:t>
      </w:r>
      <w:proofErr w:type="gramStart"/>
      <w:r w:rsidRPr="00BF3C5D">
        <w:rPr>
          <w:rFonts w:eastAsiaTheme="minorHAnsi"/>
          <w:lang w:val="en-US"/>
        </w:rPr>
        <w:t>Perkin-Elmer</w:t>
      </w:r>
      <w:proofErr w:type="gramEnd"/>
      <w:r w:rsidRPr="00BF3C5D">
        <w:rPr>
          <w:rFonts w:eastAsiaTheme="minorHAnsi"/>
          <w:lang w:val="en-US"/>
        </w:rPr>
        <w:t xml:space="preserve">) through </w:t>
      </w:r>
      <w:proofErr w:type="spellStart"/>
      <w:r w:rsidRPr="00BF3C5D">
        <w:rPr>
          <w:rFonts w:eastAsiaTheme="minorHAnsi"/>
          <w:lang w:val="en-US"/>
        </w:rPr>
        <w:t>Filtermat</w:t>
      </w:r>
      <w:proofErr w:type="spellEnd"/>
      <w:r w:rsidRPr="00BF3C5D">
        <w:rPr>
          <w:rFonts w:eastAsiaTheme="minorHAnsi"/>
          <w:lang w:val="en-US"/>
        </w:rPr>
        <w:t xml:space="preserve"> A GF/C filters. The filters were washed nine times with ice-cold filtration buffer (10 </w:t>
      </w:r>
      <w:r w:rsidRPr="008D1177">
        <w:rPr>
          <w:rFonts w:eastAsiaTheme="minorHAnsi"/>
          <w:i/>
          <w:iCs/>
          <w:lang w:val="en-US"/>
        </w:rPr>
        <w:t>mM</w:t>
      </w:r>
      <w:r w:rsidRPr="00BF3C5D">
        <w:rPr>
          <w:rFonts w:eastAsiaTheme="minorHAnsi"/>
          <w:lang w:val="en-US"/>
        </w:rPr>
        <w:t xml:space="preserve"> sodium phosphate, pH 7.4) and dried, and a melt-on scintillation sheet (Meltilex™ A, Perkin Elmer) was melted onto it. The bound radioactivity was measured with a </w:t>
      </w:r>
      <w:proofErr w:type="spellStart"/>
      <w:r w:rsidRPr="00BF3C5D">
        <w:rPr>
          <w:rFonts w:eastAsiaTheme="minorHAnsi"/>
          <w:lang w:val="en-US"/>
        </w:rPr>
        <w:t>Luminiscence</w:t>
      </w:r>
      <w:proofErr w:type="spellEnd"/>
      <w:r w:rsidRPr="00BF3C5D">
        <w:rPr>
          <w:rFonts w:eastAsiaTheme="minorHAnsi"/>
          <w:lang w:val="en-US"/>
        </w:rPr>
        <w:t xml:space="preserve"> counter </w:t>
      </w:r>
      <w:proofErr w:type="spellStart"/>
      <w:r w:rsidRPr="00BF3C5D">
        <w:rPr>
          <w:rFonts w:eastAsiaTheme="minorHAnsi"/>
          <w:lang w:val="en-US"/>
        </w:rPr>
        <w:t>Wallac</w:t>
      </w:r>
      <w:proofErr w:type="spellEnd"/>
      <w:r w:rsidRPr="00BF3C5D">
        <w:rPr>
          <w:rFonts w:eastAsiaTheme="minorHAnsi"/>
          <w:lang w:val="en-US"/>
        </w:rPr>
        <w:t xml:space="preserve"> </w:t>
      </w:r>
      <w:proofErr w:type="spellStart"/>
      <w:r w:rsidRPr="00BF3C5D">
        <w:rPr>
          <w:rFonts w:eastAsiaTheme="minorHAnsi"/>
          <w:lang w:val="en-US"/>
        </w:rPr>
        <w:t>MicroBeta</w:t>
      </w:r>
      <w:proofErr w:type="spellEnd"/>
      <w:r w:rsidRPr="00BF3C5D">
        <w:rPr>
          <w:rFonts w:eastAsiaTheme="minorHAnsi"/>
          <w:lang w:val="en-US"/>
        </w:rPr>
        <w:t xml:space="preserve"> </w:t>
      </w:r>
      <w:proofErr w:type="spellStart"/>
      <w:r w:rsidRPr="00BF3C5D">
        <w:rPr>
          <w:rFonts w:eastAsiaTheme="minorHAnsi"/>
          <w:lang w:val="en-US"/>
        </w:rPr>
        <w:t>TriLux</w:t>
      </w:r>
      <w:proofErr w:type="spellEnd"/>
      <w:r w:rsidRPr="00BF3C5D">
        <w:rPr>
          <w:rFonts w:eastAsiaTheme="minorHAnsi"/>
          <w:lang w:val="en-US"/>
        </w:rPr>
        <w:t xml:space="preserve"> (</w:t>
      </w:r>
      <w:proofErr w:type="gramStart"/>
      <w:r w:rsidRPr="00BF3C5D">
        <w:rPr>
          <w:rFonts w:eastAsiaTheme="minorHAnsi"/>
          <w:lang w:val="en-US"/>
        </w:rPr>
        <w:t>Perkin-Elmer</w:t>
      </w:r>
      <w:proofErr w:type="gramEnd"/>
      <w:r w:rsidRPr="00BF3C5D">
        <w:rPr>
          <w:rFonts w:eastAsiaTheme="minorHAnsi"/>
          <w:lang w:val="en-US"/>
        </w:rPr>
        <w:t>). [</w:t>
      </w:r>
      <w:r w:rsidRPr="00BF3C5D">
        <w:rPr>
          <w:rFonts w:eastAsiaTheme="minorHAnsi"/>
          <w:vertAlign w:val="superscript"/>
          <w:lang w:val="en-US"/>
        </w:rPr>
        <w:t>35</w:t>
      </w:r>
      <w:r w:rsidRPr="00BF3C5D">
        <w:rPr>
          <w:rFonts w:eastAsiaTheme="minorHAnsi"/>
          <w:lang w:val="en-US"/>
        </w:rPr>
        <w:t>S]-GTP</w:t>
      </w:r>
      <w:r w:rsidRPr="00BF3C5D">
        <w:rPr>
          <w:rFonts w:eastAsiaTheme="minorHAnsi"/>
          <w:lang w:eastAsia="en-US"/>
        </w:rPr>
        <w:t>γ</w:t>
      </w:r>
      <w:r w:rsidRPr="00BF3C5D">
        <w:rPr>
          <w:rFonts w:eastAsiaTheme="minorHAnsi"/>
          <w:lang w:val="en-US"/>
        </w:rPr>
        <w:t xml:space="preserve">S binding data were analyzed to determine the IC50 values by using an interactive curve fitting procedure with the GraphPad Prism version 5.02 (Graph-Pad Software Inc.). IC50 values are expressed as mean ± SEM of at least three experiments performed in triplicate for each point. </w:t>
      </w:r>
    </w:p>
    <w:p w14:paraId="3A4EC500" w14:textId="775BA81E" w:rsidR="0087757B" w:rsidRPr="00BF3C5D" w:rsidRDefault="0087757B" w:rsidP="00BF3C5D">
      <w:pPr>
        <w:pStyle w:val="p"/>
        <w:shd w:val="clear" w:color="auto" w:fill="FFFFFF"/>
        <w:spacing w:before="120" w:beforeAutospacing="0" w:after="120" w:afterAutospacing="0" w:line="360" w:lineRule="auto"/>
        <w:jc w:val="both"/>
        <w:rPr>
          <w:rFonts w:eastAsiaTheme="minorHAnsi"/>
          <w:lang w:val="en-US" w:eastAsia="en-US"/>
        </w:rPr>
      </w:pPr>
      <w:r w:rsidRPr="00BF3C5D">
        <w:rPr>
          <w:rFonts w:eastAsiaTheme="minorHAnsi"/>
          <w:lang w:val="en-US"/>
        </w:rPr>
        <w:t>In a complementary assay, SR144528 was also investigated to elucidate their ability to antagonize the effect of an agonist. To this purpose, a second [</w:t>
      </w:r>
      <w:r w:rsidRPr="00BF3C5D">
        <w:rPr>
          <w:rFonts w:eastAsiaTheme="minorHAnsi"/>
          <w:vertAlign w:val="superscript"/>
          <w:lang w:val="en-US"/>
        </w:rPr>
        <w:t>35</w:t>
      </w:r>
      <w:r w:rsidRPr="00BF3C5D">
        <w:rPr>
          <w:rFonts w:eastAsiaTheme="minorHAnsi"/>
          <w:lang w:val="en-US"/>
        </w:rPr>
        <w:t>S]-GTP</w:t>
      </w:r>
      <w:r w:rsidRPr="00BF3C5D">
        <w:rPr>
          <w:rFonts w:eastAsiaTheme="minorHAnsi"/>
          <w:lang w:eastAsia="en-US"/>
        </w:rPr>
        <w:t>γ</w:t>
      </w:r>
      <w:r w:rsidRPr="00BF3C5D">
        <w:rPr>
          <w:rFonts w:eastAsiaTheme="minorHAnsi"/>
          <w:lang w:val="en-US"/>
        </w:rPr>
        <w:t xml:space="preserve">S study was performed incorporating CP 55,940 (30 </w:t>
      </w:r>
      <w:r w:rsidRPr="008D1177">
        <w:rPr>
          <w:rFonts w:eastAsiaTheme="minorHAnsi"/>
          <w:i/>
          <w:iCs/>
          <w:lang w:val="en-US"/>
        </w:rPr>
        <w:t>nM</w:t>
      </w:r>
      <w:r w:rsidRPr="00BF3C5D">
        <w:rPr>
          <w:rFonts w:eastAsiaTheme="minorHAnsi"/>
          <w:lang w:val="en-US"/>
        </w:rPr>
        <w:t>) to the assay conditions. All the material, procedures of incubation, filtration, radioactivity counting</w:t>
      </w:r>
      <w:r w:rsidR="00D6381E">
        <w:rPr>
          <w:rFonts w:eastAsiaTheme="minorHAnsi"/>
          <w:lang w:val="en-US"/>
        </w:rPr>
        <w:t>,</w:t>
      </w:r>
      <w:r w:rsidRPr="00BF3C5D">
        <w:rPr>
          <w:rFonts w:eastAsiaTheme="minorHAnsi"/>
          <w:lang w:val="en-US"/>
        </w:rPr>
        <w:t xml:space="preserve"> and data analysis were identical to the experimental conditions described previously. </w:t>
      </w:r>
    </w:p>
    <w:p w14:paraId="7AE86704" w14:textId="66437913" w:rsidR="0087757B" w:rsidRPr="00BF3C5D" w:rsidRDefault="0087757B" w:rsidP="00C52E77">
      <w:pPr>
        <w:pStyle w:val="Heading2"/>
        <w:rPr>
          <w:lang w:val="en-US" w:bidi="ar-SA"/>
        </w:rPr>
      </w:pPr>
      <w:r w:rsidRPr="00BF3C5D">
        <w:rPr>
          <w:lang w:val="en-US" w:bidi="ar-SA"/>
        </w:rPr>
        <w:t xml:space="preserve">Assessment of SR144528 in a cerebral malaria </w:t>
      </w:r>
      <w:r w:rsidRPr="008D1177">
        <w:rPr>
          <w:rFonts w:ascii="Times New Roman" w:hAnsi="Times New Roman" w:cs="Times New Roman"/>
          <w:sz w:val="24"/>
          <w:szCs w:val="24"/>
          <w:lang w:val="en-US" w:bidi="ar-SA"/>
        </w:rPr>
        <w:t>in vivo</w:t>
      </w:r>
      <w:r w:rsidRPr="00BF3C5D">
        <w:rPr>
          <w:lang w:val="en-US" w:bidi="ar-SA"/>
        </w:rPr>
        <w:t xml:space="preserve"> model</w:t>
      </w:r>
    </w:p>
    <w:p w14:paraId="4588C39D" w14:textId="35DBC96A" w:rsidR="0092791B" w:rsidRPr="00984C6E" w:rsidRDefault="0092791B" w:rsidP="00BF3C5D">
      <w:pPr>
        <w:widowControl/>
        <w:adjustRightInd w:val="0"/>
        <w:spacing w:line="360" w:lineRule="auto"/>
        <w:jc w:val="both"/>
        <w:rPr>
          <w:rFonts w:ascii="Times New Roman" w:eastAsiaTheme="minorHAnsi" w:hAnsi="Times New Roman" w:cs="Times New Roman"/>
          <w:color w:val="000000" w:themeColor="text1"/>
          <w:sz w:val="24"/>
          <w:szCs w:val="24"/>
          <w:lang w:val="en-US" w:eastAsia="en-US" w:bidi="ar-SA"/>
        </w:rPr>
      </w:pPr>
      <w:r w:rsidRPr="00984C6E">
        <w:rPr>
          <w:rFonts w:ascii="Times New Roman" w:eastAsiaTheme="minorHAnsi" w:hAnsi="Times New Roman" w:cs="Times New Roman"/>
          <w:color w:val="000000" w:themeColor="text1"/>
          <w:sz w:val="24"/>
          <w:szCs w:val="24"/>
          <w:lang w:val="en-US" w:eastAsia="en-US" w:bidi="ar-SA"/>
        </w:rPr>
        <w:t>All experiments with animals were conducted at the Universidad</w:t>
      </w:r>
      <w:r w:rsidR="00E85C59" w:rsidRPr="00984C6E">
        <w:rPr>
          <w:rFonts w:ascii="Times New Roman" w:eastAsiaTheme="minorHAnsi" w:hAnsi="Times New Roman" w:cs="Times New Roman"/>
          <w:color w:val="000000" w:themeColor="text1"/>
          <w:sz w:val="24"/>
          <w:szCs w:val="24"/>
          <w:lang w:val="en-US" w:eastAsia="en-US" w:bidi="ar-SA"/>
        </w:rPr>
        <w:t xml:space="preserve"> </w:t>
      </w:r>
      <w:r w:rsidRPr="00984C6E">
        <w:rPr>
          <w:rFonts w:ascii="Times New Roman" w:eastAsiaTheme="minorHAnsi" w:hAnsi="Times New Roman" w:cs="Times New Roman"/>
          <w:color w:val="000000" w:themeColor="text1"/>
          <w:sz w:val="24"/>
          <w:szCs w:val="24"/>
          <w:lang w:val="en-US" w:eastAsia="en-US" w:bidi="ar-SA"/>
        </w:rPr>
        <w:t>Complutense de Madrid in</w:t>
      </w:r>
      <w:r w:rsidR="00E85C59" w:rsidRPr="00984C6E">
        <w:rPr>
          <w:rFonts w:ascii="Times New Roman" w:eastAsiaTheme="minorHAnsi" w:hAnsi="Times New Roman" w:cs="Times New Roman"/>
          <w:color w:val="000000" w:themeColor="text1"/>
          <w:sz w:val="24"/>
          <w:szCs w:val="24"/>
          <w:lang w:val="en-US" w:eastAsia="en-US" w:bidi="ar-SA"/>
        </w:rPr>
        <w:t xml:space="preserve"> </w:t>
      </w:r>
      <w:r w:rsidRPr="00984C6E">
        <w:rPr>
          <w:rFonts w:ascii="Times New Roman" w:eastAsiaTheme="minorHAnsi" w:hAnsi="Times New Roman" w:cs="Times New Roman"/>
          <w:color w:val="000000" w:themeColor="text1"/>
          <w:sz w:val="24"/>
          <w:szCs w:val="24"/>
          <w:lang w:val="en-US" w:eastAsia="en-US" w:bidi="ar-SA"/>
        </w:rPr>
        <w:t>accordance with national and international regulations</w:t>
      </w:r>
      <w:r w:rsidR="00E85C59" w:rsidRPr="00984C6E">
        <w:rPr>
          <w:rFonts w:ascii="Times New Roman" w:eastAsiaTheme="minorHAnsi" w:hAnsi="Times New Roman" w:cs="Times New Roman"/>
          <w:color w:val="000000" w:themeColor="text1"/>
          <w:sz w:val="24"/>
          <w:szCs w:val="24"/>
          <w:lang w:val="en-US" w:eastAsia="en-US" w:bidi="ar-SA"/>
        </w:rPr>
        <w:t xml:space="preserve"> </w:t>
      </w:r>
      <w:r w:rsidRPr="00984C6E">
        <w:rPr>
          <w:rFonts w:ascii="Times New Roman" w:eastAsiaTheme="minorHAnsi" w:hAnsi="Times New Roman" w:cs="Times New Roman"/>
          <w:color w:val="000000" w:themeColor="text1"/>
          <w:sz w:val="24"/>
          <w:szCs w:val="24"/>
          <w:lang w:val="en-US" w:eastAsia="en-US" w:bidi="ar-SA"/>
        </w:rPr>
        <w:t>for animal experimentation and were performed with full adherence to their</w:t>
      </w:r>
      <w:r w:rsidR="00E85C59" w:rsidRPr="00984C6E">
        <w:rPr>
          <w:rFonts w:ascii="Times New Roman" w:eastAsiaTheme="minorHAnsi" w:hAnsi="Times New Roman" w:cs="Times New Roman"/>
          <w:color w:val="000000" w:themeColor="text1"/>
          <w:sz w:val="24"/>
          <w:szCs w:val="24"/>
          <w:lang w:val="en-US" w:eastAsia="en-US" w:bidi="ar-SA"/>
        </w:rPr>
        <w:t xml:space="preserve"> </w:t>
      </w:r>
      <w:r w:rsidRPr="00984C6E">
        <w:rPr>
          <w:rFonts w:ascii="Times New Roman" w:eastAsiaTheme="minorHAnsi" w:hAnsi="Times New Roman" w:cs="Times New Roman"/>
          <w:color w:val="000000" w:themeColor="text1"/>
          <w:sz w:val="24"/>
          <w:szCs w:val="24"/>
          <w:lang w:val="en-US" w:eastAsia="en-US" w:bidi="ar-SA"/>
        </w:rPr>
        <w:t>corresponding deontological and ethical guidelines. The study protocol was</w:t>
      </w:r>
      <w:r w:rsidR="00E85C59" w:rsidRPr="00984C6E">
        <w:rPr>
          <w:rFonts w:ascii="Times New Roman" w:eastAsiaTheme="minorHAnsi" w:hAnsi="Times New Roman" w:cs="Times New Roman"/>
          <w:color w:val="000000" w:themeColor="text1"/>
          <w:sz w:val="24"/>
          <w:szCs w:val="24"/>
          <w:lang w:val="en-US" w:eastAsia="en-US" w:bidi="ar-SA"/>
        </w:rPr>
        <w:t xml:space="preserve"> </w:t>
      </w:r>
      <w:r w:rsidRPr="00984C6E">
        <w:rPr>
          <w:rFonts w:ascii="Times New Roman" w:eastAsiaTheme="minorHAnsi" w:hAnsi="Times New Roman" w:cs="Times New Roman"/>
          <w:color w:val="000000" w:themeColor="text1"/>
          <w:sz w:val="24"/>
          <w:szCs w:val="24"/>
          <w:lang w:val="en-US" w:eastAsia="en-US" w:bidi="ar-SA"/>
        </w:rPr>
        <w:t>approved by the Committee of Animal Experimentation of the Universidad</w:t>
      </w:r>
      <w:r w:rsidR="00E85C59" w:rsidRPr="00984C6E">
        <w:rPr>
          <w:rFonts w:ascii="Times New Roman" w:eastAsiaTheme="minorHAnsi" w:hAnsi="Times New Roman" w:cs="Times New Roman"/>
          <w:color w:val="000000" w:themeColor="text1"/>
          <w:sz w:val="24"/>
          <w:szCs w:val="24"/>
          <w:lang w:val="en-US" w:eastAsia="en-US" w:bidi="ar-SA"/>
        </w:rPr>
        <w:t xml:space="preserve"> </w:t>
      </w:r>
      <w:r w:rsidRPr="00984C6E">
        <w:rPr>
          <w:rFonts w:ascii="Times New Roman" w:eastAsiaTheme="minorHAnsi" w:hAnsi="Times New Roman" w:cs="Times New Roman"/>
          <w:color w:val="000000" w:themeColor="text1"/>
          <w:sz w:val="24"/>
          <w:szCs w:val="24"/>
          <w:lang w:val="en-US" w:eastAsia="en-US" w:bidi="ar-SA"/>
        </w:rPr>
        <w:t>Complutense de Madrid</w:t>
      </w:r>
      <w:r w:rsidR="005C51E5" w:rsidRPr="00984C6E">
        <w:rPr>
          <w:rFonts w:ascii="Times New Roman" w:eastAsiaTheme="minorHAnsi" w:hAnsi="Times New Roman" w:cs="Times New Roman"/>
          <w:color w:val="000000" w:themeColor="text1"/>
          <w:sz w:val="24"/>
          <w:szCs w:val="24"/>
          <w:lang w:val="en-US" w:eastAsia="en-US" w:bidi="ar-SA"/>
        </w:rPr>
        <w:t>.</w:t>
      </w:r>
    </w:p>
    <w:p w14:paraId="40C4F260" w14:textId="529ADFF5" w:rsidR="0087757B" w:rsidRPr="00BF3C5D" w:rsidRDefault="0087757B" w:rsidP="00BF3C5D">
      <w:pPr>
        <w:widowControl/>
        <w:adjustRightInd w:val="0"/>
        <w:spacing w:before="120" w:after="120" w:line="360" w:lineRule="auto"/>
        <w:jc w:val="both"/>
        <w:rPr>
          <w:rFonts w:ascii="Times New Roman" w:eastAsiaTheme="minorHAnsi" w:hAnsi="Times New Roman" w:cs="Times New Roman"/>
          <w:color w:val="000000"/>
          <w:sz w:val="24"/>
          <w:szCs w:val="24"/>
          <w:lang w:val="en-US" w:eastAsia="en-US" w:bidi="ar-SA"/>
        </w:rPr>
      </w:pPr>
      <w:r w:rsidRPr="00BF3C5D">
        <w:rPr>
          <w:rFonts w:ascii="Times New Roman" w:hAnsi="Times New Roman" w:cs="Times New Roman"/>
          <w:sz w:val="24"/>
          <w:szCs w:val="24"/>
          <w:lang w:val="en-US" w:bidi="ar-SA"/>
        </w:rPr>
        <w:lastRenderedPageBreak/>
        <w:t xml:space="preserve">The experimental mice used were 4-weeks old pathogen-free male C57BL/6 mice, as a CM susceptible strain. The animals were purchased from Harlan </w:t>
      </w:r>
      <w:proofErr w:type="spellStart"/>
      <w:r w:rsidRPr="00BF3C5D">
        <w:rPr>
          <w:rFonts w:ascii="Times New Roman" w:hAnsi="Times New Roman" w:cs="Times New Roman"/>
          <w:sz w:val="24"/>
          <w:szCs w:val="24"/>
          <w:lang w:val="en-US" w:bidi="ar-SA"/>
        </w:rPr>
        <w:t>Ibérica</w:t>
      </w:r>
      <w:proofErr w:type="spellEnd"/>
      <w:r w:rsidRPr="00BF3C5D">
        <w:rPr>
          <w:rFonts w:ascii="Times New Roman" w:hAnsi="Times New Roman" w:cs="Times New Roman"/>
          <w:sz w:val="24"/>
          <w:szCs w:val="24"/>
          <w:lang w:val="en-US" w:bidi="ar-SA"/>
        </w:rPr>
        <w:t xml:space="preserve"> </w:t>
      </w:r>
      <w:r w:rsidRPr="00BF3C5D">
        <w:rPr>
          <w:rFonts w:ascii="Times New Roman" w:eastAsiaTheme="minorHAnsi" w:hAnsi="Times New Roman" w:cs="Times New Roman"/>
          <w:color w:val="000000"/>
          <w:sz w:val="24"/>
          <w:szCs w:val="24"/>
          <w:lang w:val="en-US" w:eastAsia="en-US" w:bidi="ar-SA"/>
        </w:rPr>
        <w:t xml:space="preserve">(Barcelona, Spain) and kept in our facilities at the </w:t>
      </w:r>
      <w:r w:rsidR="00673FD5" w:rsidRPr="00673FD5">
        <w:rPr>
          <w:rFonts w:ascii="Times New Roman" w:hAnsi="Times New Roman" w:cs="Times New Roman"/>
          <w:sz w:val="24"/>
          <w:szCs w:val="24"/>
          <w:lang w:val="en-US" w:bidi="ar-SA"/>
        </w:rPr>
        <w:t xml:space="preserve">Universidad </w:t>
      </w:r>
      <w:proofErr w:type="spellStart"/>
      <w:r w:rsidR="00673FD5" w:rsidRPr="00673FD5">
        <w:rPr>
          <w:rFonts w:ascii="Times New Roman" w:hAnsi="Times New Roman" w:cs="Times New Roman"/>
          <w:sz w:val="24"/>
          <w:szCs w:val="24"/>
          <w:lang w:val="en-US" w:bidi="ar-SA"/>
        </w:rPr>
        <w:t>Complutense</w:t>
      </w:r>
      <w:proofErr w:type="spellEnd"/>
      <w:r w:rsidR="00673FD5" w:rsidRPr="00673FD5">
        <w:rPr>
          <w:rFonts w:ascii="Times New Roman" w:hAnsi="Times New Roman" w:cs="Times New Roman"/>
          <w:sz w:val="24"/>
          <w:szCs w:val="24"/>
          <w:lang w:val="en-US" w:bidi="ar-SA"/>
        </w:rPr>
        <w:t xml:space="preserve"> de Madrid</w:t>
      </w:r>
      <w:r w:rsidRPr="00BF3C5D">
        <w:rPr>
          <w:rFonts w:ascii="Times New Roman" w:eastAsiaTheme="minorHAnsi" w:hAnsi="Times New Roman" w:cs="Times New Roman"/>
          <w:color w:val="000000"/>
          <w:sz w:val="24"/>
          <w:szCs w:val="24"/>
          <w:lang w:val="en-US" w:eastAsia="en-US" w:bidi="ar-SA"/>
        </w:rPr>
        <w:t>, with free access to food and water</w:t>
      </w:r>
      <w:r w:rsidRPr="00984C6E">
        <w:rPr>
          <w:rFonts w:ascii="Times New Roman" w:eastAsiaTheme="minorHAnsi" w:hAnsi="Times New Roman" w:cs="Times New Roman"/>
          <w:color w:val="000000"/>
          <w:sz w:val="24"/>
          <w:szCs w:val="24"/>
          <w:lang w:val="en-US" w:eastAsia="en-US" w:bidi="ar-SA"/>
        </w:rPr>
        <w:t xml:space="preserve">. </w:t>
      </w:r>
      <w:r w:rsidRPr="00984C6E">
        <w:rPr>
          <w:rFonts w:ascii="Times New Roman" w:eastAsiaTheme="minorHAnsi" w:hAnsi="Times New Roman" w:cs="Times New Roman"/>
          <w:color w:val="000000" w:themeColor="text1"/>
          <w:sz w:val="24"/>
          <w:szCs w:val="24"/>
          <w:lang w:val="en-US" w:eastAsia="en-US" w:bidi="ar-SA"/>
        </w:rPr>
        <w:t>Ten mice</w:t>
      </w:r>
      <w:r w:rsidRPr="00BF3C5D">
        <w:rPr>
          <w:rStyle w:val="CommentReference"/>
          <w:rFonts w:ascii="Times New Roman" w:hAnsi="Times New Roman" w:cs="Times New Roman"/>
          <w:color w:val="000000" w:themeColor="text1"/>
          <w:sz w:val="24"/>
          <w:szCs w:val="24"/>
          <w:lang w:val="en-US"/>
        </w:rPr>
        <w:t xml:space="preserve"> </w:t>
      </w:r>
      <w:r w:rsidRPr="00BF3C5D">
        <w:rPr>
          <w:rStyle w:val="CommentReference"/>
          <w:rFonts w:ascii="Times New Roman" w:hAnsi="Times New Roman" w:cs="Times New Roman"/>
          <w:sz w:val="24"/>
          <w:szCs w:val="24"/>
          <w:lang w:val="en-US"/>
        </w:rPr>
        <w:t>w</w:t>
      </w:r>
      <w:r w:rsidRPr="00BF3C5D">
        <w:rPr>
          <w:rFonts w:ascii="Times New Roman" w:eastAsiaTheme="minorHAnsi" w:hAnsi="Times New Roman" w:cs="Times New Roman"/>
          <w:color w:val="000000"/>
          <w:sz w:val="24"/>
          <w:szCs w:val="24"/>
          <w:lang w:val="en-US" w:eastAsia="en-US" w:bidi="ar-SA"/>
        </w:rPr>
        <w:t>ere infected by intraperitoneal injection of 5x10</w:t>
      </w:r>
      <w:r w:rsidRPr="00BF3C5D">
        <w:rPr>
          <w:rFonts w:ascii="Times New Roman" w:eastAsiaTheme="minorHAnsi" w:hAnsi="Times New Roman" w:cs="Times New Roman"/>
          <w:color w:val="000000"/>
          <w:sz w:val="24"/>
          <w:szCs w:val="24"/>
          <w:vertAlign w:val="superscript"/>
          <w:lang w:val="en-US" w:eastAsia="en-US" w:bidi="ar-SA"/>
        </w:rPr>
        <w:t>6</w:t>
      </w:r>
      <w:r w:rsidRPr="00BF3C5D">
        <w:rPr>
          <w:rFonts w:ascii="Times New Roman" w:eastAsiaTheme="minorHAnsi" w:hAnsi="Times New Roman" w:cs="Times New Roman"/>
          <w:color w:val="000000"/>
          <w:sz w:val="24"/>
          <w:szCs w:val="24"/>
          <w:lang w:val="en-US" w:eastAsia="en-US" w:bidi="ar-SA"/>
        </w:rPr>
        <w:t xml:space="preserve"> parasitized red bloods cells (pRBC) obtained from </w:t>
      </w:r>
      <w:r w:rsidRPr="00BF3C5D">
        <w:rPr>
          <w:rFonts w:ascii="Times New Roman" w:eastAsiaTheme="minorHAnsi" w:hAnsi="Times New Roman" w:cs="Times New Roman"/>
          <w:i/>
          <w:iCs/>
          <w:color w:val="000000"/>
          <w:sz w:val="24"/>
          <w:szCs w:val="24"/>
          <w:lang w:val="en-US" w:eastAsia="en-US" w:bidi="ar-SA"/>
        </w:rPr>
        <w:t>P. berghei</w:t>
      </w:r>
      <w:r w:rsidRPr="00BF3C5D">
        <w:rPr>
          <w:rFonts w:ascii="Times New Roman" w:eastAsiaTheme="minorHAnsi" w:hAnsi="Times New Roman" w:cs="Times New Roman"/>
          <w:b/>
          <w:bCs/>
          <w:i/>
          <w:iCs/>
          <w:color w:val="000000"/>
          <w:sz w:val="24"/>
          <w:szCs w:val="24"/>
          <w:lang w:val="en-US" w:eastAsia="en-US" w:bidi="ar-SA"/>
        </w:rPr>
        <w:t xml:space="preserve"> </w:t>
      </w:r>
      <w:r w:rsidRPr="00BF3C5D">
        <w:rPr>
          <w:rFonts w:ascii="Times New Roman" w:eastAsiaTheme="minorHAnsi" w:hAnsi="Times New Roman" w:cs="Times New Roman"/>
          <w:color w:val="000000"/>
          <w:sz w:val="24"/>
          <w:szCs w:val="24"/>
          <w:lang w:val="en-US" w:eastAsia="en-US" w:bidi="ar-SA"/>
        </w:rPr>
        <w:t xml:space="preserve">ANKA previously infected mice. Four of them were designated as non-treated mice, whereas the remaining six animals were treated </w:t>
      </w:r>
      <w:r w:rsidR="00673FD5">
        <w:rPr>
          <w:rFonts w:ascii="Times New Roman" w:eastAsiaTheme="minorHAnsi" w:hAnsi="Times New Roman" w:cs="Times New Roman"/>
          <w:color w:val="000000"/>
          <w:sz w:val="24"/>
          <w:szCs w:val="24"/>
          <w:lang w:val="en-US" w:eastAsia="en-US" w:bidi="ar-SA"/>
        </w:rPr>
        <w:t xml:space="preserve">daily </w:t>
      </w:r>
      <w:r w:rsidRPr="00BF3C5D">
        <w:rPr>
          <w:rFonts w:ascii="Times New Roman" w:eastAsiaTheme="minorHAnsi" w:hAnsi="Times New Roman" w:cs="Times New Roman"/>
          <w:color w:val="000000"/>
          <w:sz w:val="24"/>
          <w:szCs w:val="24"/>
          <w:lang w:val="en-US" w:eastAsia="en-US" w:bidi="ar-SA"/>
        </w:rPr>
        <w:t>with intraperitoneal injections of 25</w:t>
      </w:r>
      <w:r w:rsidR="00D60D41">
        <w:rPr>
          <w:rFonts w:ascii="Times New Roman" w:eastAsiaTheme="minorHAnsi" w:hAnsi="Times New Roman" w:cs="Times New Roman"/>
          <w:color w:val="000000"/>
          <w:sz w:val="24"/>
          <w:szCs w:val="24"/>
          <w:lang w:val="en-US" w:eastAsia="en-US" w:bidi="ar-SA"/>
        </w:rPr>
        <w:t xml:space="preserve"> </w:t>
      </w:r>
      <w:proofErr w:type="spellStart"/>
      <w:r w:rsidRPr="008D1177">
        <w:rPr>
          <w:rFonts w:ascii="Times New Roman" w:eastAsiaTheme="minorHAnsi" w:hAnsi="Times New Roman" w:cs="Times New Roman"/>
          <w:i/>
          <w:iCs/>
          <w:color w:val="000000"/>
          <w:sz w:val="24"/>
          <w:szCs w:val="24"/>
          <w:lang w:val="en-US" w:eastAsia="en-US" w:bidi="ar-SA"/>
        </w:rPr>
        <w:t>μg</w:t>
      </w:r>
      <w:proofErr w:type="spellEnd"/>
      <w:r w:rsidRPr="00BF3C5D">
        <w:rPr>
          <w:rFonts w:ascii="Times New Roman" w:eastAsiaTheme="minorHAnsi" w:hAnsi="Times New Roman" w:cs="Times New Roman"/>
          <w:color w:val="000000"/>
          <w:sz w:val="24"/>
          <w:szCs w:val="24"/>
          <w:lang w:val="en-US" w:eastAsia="en-US" w:bidi="ar-SA"/>
        </w:rPr>
        <w:t xml:space="preserve"> SR144528. The SR144528 doses were prepared according to previous studies </w:t>
      </w:r>
      <w:r w:rsidRPr="00BF3C5D">
        <w:rPr>
          <w:rFonts w:ascii="Times New Roman" w:eastAsiaTheme="minorHAnsi" w:hAnsi="Times New Roman" w:cs="Times New Roman"/>
          <w:color w:val="000000"/>
          <w:sz w:val="24"/>
          <w:szCs w:val="24"/>
          <w:lang w:val="en-US" w:eastAsia="en-US" w:bidi="ar-SA"/>
        </w:rPr>
        <w:fldChar w:fldCharType="begin" w:fldLock="1"/>
      </w:r>
      <w:r w:rsidR="003F6C97" w:rsidRPr="00BF3C5D">
        <w:rPr>
          <w:rFonts w:ascii="Times New Roman" w:eastAsiaTheme="minorHAnsi" w:hAnsi="Times New Roman" w:cs="Times New Roman"/>
          <w:color w:val="000000"/>
          <w:sz w:val="24"/>
          <w:szCs w:val="24"/>
          <w:lang w:val="en-US" w:eastAsia="en-US" w:bidi="ar-SA"/>
        </w:rPr>
        <w:instrText>ADDIN CSL_CITATION {"citationItems":[{"id":"ITEM-1","itemData":{"DOI":"10.1074/jbc.M116.746594","ISBN":"0021-9258","ISSN":"1083351X","PMID":"27474745","abstract":"Cerebral malaria (CM) is a severe and often fatal complication of Plasmodium falciparum infection. It is characterized by parasite sequestration, a breakdown of the blood-brain-barrier and a strong inflammation in the brain. We investigated the role of the cannabinoid receptor 2 (CB2), an important modulator of neuroinflammatory responses, in experimental cerebral malaria (ECM). Strikingly, mice with a deletion of the CB2-encoding gene (Cnr2(-/-)) mice inoculated with Plasmodium berghei ANKA-erythrocytes exhibited enhanced survival and a diminished blood-brain-barrier disruption. Therapeutic application of a specific CB2 antagonist also conferred increased ECM resistance in wild type mice. Hematopoietic-derived immune cells were responsible for the enhanced protection in bone-marrow-chimeric (BM)-Cnr2(-/-) mice. Mixed BM-chimeras further revealed that CB2-expressing cells contributed to ECM development. A heterogeneous CD11b(+) cell population, containing macrophages and neutrophils, expanded in the Cnr2(-/-) spleen after infection and expressed macrophage mannose receptors, arginase-1 activity and IL-10. Also in the Cnr2(-/-) brain CD11b(+) cells that expressed selected anti-inflammatory markers accumulated and expression of inflammatory mediators IFN-γ and TNF-α was reduced. Finally, the M2-macrophage chemokine CCL17 was identified as essential factor for enhanced survival in the absence of CB2, since CCL17 x Cnr2 double-deficient mice were fully susceptible to ECM. Thus, targeting CB2 may be promising for the development of alternative treatment regimes of ECM.","author":[{"dropping-particle":"","family":"Alferink","given":"Judith","non-dropping-particle":"","parse-names":false,"suffix":""},{"dropping-particle":"","family":"Specht","given":"Sabine","non-dropping-particle":"","parse-names":false,"suffix":""},{"dropping-particle":"","family":"Arends","given":"Hannah","non-dropping-particle":"","parse-names":false,"suffix":""},{"dropping-particle":"","family":"Schumak","given":"Beatrix","non-dropping-particle":"","parse-names":false,"suffix":""},{"dropping-particle":"","family":"Schmidt","given":"Kim","non-dropping-particle":"","parse-names":false,"suffix":""},{"dropping-particle":"","family":"Ruland","given":"Christina","non-dropping-particle":"","parse-names":false,"suffix":""},{"dropping-particle":"","family":"Lundt","given":"Ramona","non-dropping-particle":"","parse-names":false,"suffix":""},{"dropping-particle":"","family":"Kemter","given":"Andrea","non-dropping-particle":"","parse-names":false,"suffix":""},{"dropping-particle":"","family":"Dlugos","given":"Andrea","non-dropping-particle":"","parse-names":false,"suffix":""},{"dropping-particle":"","family":"Kuepper","given":"Janina M","non-dropping-particle":"","parse-names":false,"suffix":""},{"dropping-particle":"","family":"Poppensieker","given":"Karola","non-dropping-particle":"","parse-names":false,"suffix":""},{"dropping-particle":"","family":"Findeiss","given":"Matthias","non-dropping-particle":"","parse-names":false,"suffix":""},{"dropping-particle":"","family":"Albayram","given":"Nder","non-dropping-particle":"","parse-names":false,"suffix":""},{"dropping-particle":"","family":"Otte","given":"David M","non-dropping-particle":"","parse-names":false,"suffix":""},{"dropping-particle":"","family":"Marazzi","given":"Janine","non-dropping-particle":"","parse-names":false,"suffix":""},{"dropping-particle":"","family":"Gertsch","given":"Jürg","non-dropping-particle":"","parse-names":false,"suffix":""},{"dropping-particle":"","family":"Förster","given":"Irmgard","non-dropping-particle":"","parse-names":false,"suffix":""},{"dropping-particle":"","family":"Maier","given":"Wolfgang","non-dropping-particle":"","parse-names":false,"suffix":""},{"dropping-particle":"","family":"Scheu","given":"Stefanie","non-dropping-particle":"","parse-names":false,"suffix":""},{"dropping-particle":"","family":"Hoerauf","given":"Achim","non-dropping-particle":"","parse-names":false,"suffix":""},{"dropping-particle":"","family":"Zimmer","given":"Andreas","non-dropping-particle":"","parse-names":false,"suffix":""}],"container-title":"Journal of Biological Chemistry","id":"ITEM-1","issue":"37","issued":{"date-parts":[["2016"]]},"page":"19517-19531","title":"Cannabinoid receptor 2 modulates susceptibility to experimental cerebral malaria through a CCL17-dependent Mechanism","type":"article-journal","volume":"291"},"uris":["http://www.mendeley.com/documents/?uuid=30adfc34-bd73-3837-9100-641dab63a795"]}],"mendeley":{"formattedCitation":"(Alferink et al., 2016)","plainTextFormattedCitation":"(Alferink et al., 2016)","previouslyFormattedCitation":"(Alferink et al., 2016)"},"properties":{"noteIndex":0},"schema":"https://github.com/citation-style-language/schema/raw/master/csl-citation.json"}</w:instrText>
      </w:r>
      <w:r w:rsidRPr="00BF3C5D">
        <w:rPr>
          <w:rFonts w:ascii="Times New Roman" w:eastAsiaTheme="minorHAnsi" w:hAnsi="Times New Roman" w:cs="Times New Roman"/>
          <w:color w:val="000000"/>
          <w:sz w:val="24"/>
          <w:szCs w:val="24"/>
          <w:lang w:val="en-US" w:eastAsia="en-US" w:bidi="ar-SA"/>
        </w:rPr>
        <w:fldChar w:fldCharType="separate"/>
      </w:r>
      <w:r w:rsidRPr="00BF3C5D">
        <w:rPr>
          <w:rFonts w:ascii="Times New Roman" w:eastAsiaTheme="minorHAnsi" w:hAnsi="Times New Roman" w:cs="Times New Roman"/>
          <w:noProof/>
          <w:color w:val="000000"/>
          <w:sz w:val="24"/>
          <w:szCs w:val="24"/>
          <w:lang w:val="en-US" w:eastAsia="en-US" w:bidi="ar-SA"/>
        </w:rPr>
        <w:t>(Alferink et al., 2016)</w:t>
      </w:r>
      <w:r w:rsidRPr="00BF3C5D">
        <w:rPr>
          <w:rFonts w:ascii="Times New Roman" w:eastAsiaTheme="minorHAnsi" w:hAnsi="Times New Roman" w:cs="Times New Roman"/>
          <w:color w:val="000000"/>
          <w:sz w:val="24"/>
          <w:szCs w:val="24"/>
          <w:lang w:val="en-US" w:eastAsia="en-US" w:bidi="ar-SA"/>
        </w:rPr>
        <w:fldChar w:fldCharType="end"/>
      </w:r>
      <w:r w:rsidRPr="00BF3C5D">
        <w:rPr>
          <w:rFonts w:ascii="Times New Roman" w:eastAsiaTheme="minorHAnsi" w:hAnsi="Times New Roman" w:cs="Times New Roman"/>
          <w:color w:val="000000"/>
          <w:sz w:val="24"/>
          <w:szCs w:val="24"/>
          <w:lang w:val="en-US" w:eastAsia="en-US" w:bidi="ar-SA"/>
        </w:rPr>
        <w:t xml:space="preserve"> by resuspending the compound in a Tween 80:saline (1:16 v/v) solution with a 1.25% DMSO. To minimize animal suffering, only two of the four non-treated mice were injected with the vehicle that included the same proportion of DMSO in Tween </w:t>
      </w:r>
      <w:proofErr w:type="gramStart"/>
      <w:r w:rsidRPr="00BF3C5D">
        <w:rPr>
          <w:rFonts w:ascii="Times New Roman" w:eastAsiaTheme="minorHAnsi" w:hAnsi="Times New Roman" w:cs="Times New Roman"/>
          <w:color w:val="000000"/>
          <w:sz w:val="24"/>
          <w:szCs w:val="24"/>
          <w:lang w:val="en-US" w:eastAsia="en-US" w:bidi="ar-SA"/>
        </w:rPr>
        <w:t>80:saline</w:t>
      </w:r>
      <w:proofErr w:type="gramEnd"/>
      <w:r w:rsidRPr="00BF3C5D">
        <w:rPr>
          <w:rFonts w:ascii="Times New Roman" w:eastAsiaTheme="minorHAnsi" w:hAnsi="Times New Roman" w:cs="Times New Roman"/>
          <w:color w:val="000000"/>
          <w:sz w:val="24"/>
          <w:szCs w:val="24"/>
          <w:lang w:val="en-US" w:eastAsia="en-US" w:bidi="ar-SA"/>
        </w:rPr>
        <w:t xml:space="preserve">. In accordance with preliminary experiments supported in previous reports, injected and non-injected control mice have identical phenotypic and histological characteristics </w:t>
      </w:r>
      <w:r w:rsidRPr="00BF3C5D">
        <w:rPr>
          <w:rFonts w:ascii="Times New Roman" w:eastAsiaTheme="minorHAnsi" w:hAnsi="Times New Roman" w:cs="Times New Roman"/>
          <w:color w:val="000000"/>
          <w:sz w:val="24"/>
          <w:szCs w:val="24"/>
          <w:lang w:val="en-US" w:eastAsia="en-US" w:bidi="ar-SA"/>
        </w:rPr>
        <w:fldChar w:fldCharType="begin" w:fldLock="1"/>
      </w:r>
      <w:r w:rsidR="003F6C97" w:rsidRPr="00BF3C5D">
        <w:rPr>
          <w:rFonts w:ascii="Times New Roman" w:eastAsiaTheme="minorHAnsi" w:hAnsi="Times New Roman" w:cs="Times New Roman"/>
          <w:color w:val="000000"/>
          <w:sz w:val="24"/>
          <w:szCs w:val="24"/>
          <w:lang w:val="en-US" w:eastAsia="en-US" w:bidi="ar-SA"/>
        </w:rPr>
        <w:instrText>ADDIN CSL_CITATION {"citationItems":[{"id":"ITEM-1","itemData":{"DOI":"10.1086/605896","ISSN":"0022-1899","author":[{"dropping-particle":"","family":"Marín‐García","given":"Patricia","non-dropping-particle":"","parse-names":false,"suffix":""},{"dropping-particle":"","family":"Sánchez‐Nogueiro","given":"Jesús","non-dropping-particle":"","parse-names":false,"suffix":""},{"dropping-particle":"","family":"Diez","given":"Amalia","non-dropping-particle":"","parse-names":false,"suffix":""},{"dropping-particle":"","family":"León‐Otegui","given":"Míriam","non-dropping-particle":"","parse-names":false,"suffix":""},{"dropping-particle":"","family":"Linares","given":"María","non-dropping-particle":"","parse-names":false,"suffix":""},{"dropping-particle":"","family":"García‐Palencia","given":"Pilar","non-dropping-particle":"","parse-names":false,"suffix":""},{"dropping-particle":"","family":"Bautista","given":"José M.","non-dropping-particle":"","parse-names":false,"suffix":""},{"dropping-particle":"","family":"Miras‐Portugal","given":"María Teresa","non-dropping-particle":"","parse-names":false,"suffix":""}],"container-title":"The Journal of Infectious Diseases","id":"ITEM-1","issue":"8","issued":{"date-parts":[["2009","10"]]},"page":"1279-1288","publisher":"Oxford University Press","title":"Altered Nucleotide Receptor Expression in a Murine Model of Cerebral Malaria","type":"article-journal","volume":"200"},"uris":["http://www.mendeley.com/documents/?uuid=4e295532-77c2-4a8c-b0f5-a1080d2f6c88"]}],"mendeley":{"formattedCitation":"(Marín‐García et al., 2009)","plainTextFormattedCitation":"(Marín‐García et al., 2009)","previouslyFormattedCitation":"(Marín‐García et al., 2009)"},"properties":{"noteIndex":0},"schema":"https://github.com/citation-style-language/schema/raw/master/csl-citation.json"}</w:instrText>
      </w:r>
      <w:r w:rsidRPr="00BF3C5D">
        <w:rPr>
          <w:rFonts w:ascii="Times New Roman" w:eastAsiaTheme="minorHAnsi" w:hAnsi="Times New Roman" w:cs="Times New Roman"/>
          <w:color w:val="000000"/>
          <w:sz w:val="24"/>
          <w:szCs w:val="24"/>
          <w:lang w:val="en-US" w:eastAsia="en-US" w:bidi="ar-SA"/>
        </w:rPr>
        <w:fldChar w:fldCharType="separate"/>
      </w:r>
      <w:r w:rsidRPr="00BF3C5D">
        <w:rPr>
          <w:rFonts w:ascii="Times New Roman" w:eastAsiaTheme="minorHAnsi" w:hAnsi="Times New Roman" w:cs="Times New Roman"/>
          <w:noProof/>
          <w:color w:val="000000"/>
          <w:sz w:val="24"/>
          <w:szCs w:val="24"/>
          <w:lang w:val="en-US" w:eastAsia="en-US" w:bidi="ar-SA"/>
        </w:rPr>
        <w:t>(Marín‐García et al., 2009)</w:t>
      </w:r>
      <w:r w:rsidRPr="00BF3C5D">
        <w:rPr>
          <w:rFonts w:ascii="Times New Roman" w:eastAsiaTheme="minorHAnsi" w:hAnsi="Times New Roman" w:cs="Times New Roman"/>
          <w:color w:val="000000"/>
          <w:sz w:val="24"/>
          <w:szCs w:val="24"/>
          <w:lang w:val="en-US" w:eastAsia="en-US" w:bidi="ar-SA"/>
        </w:rPr>
        <w:fldChar w:fldCharType="end"/>
      </w:r>
      <w:r w:rsidRPr="00BF3C5D">
        <w:rPr>
          <w:rFonts w:ascii="Times New Roman" w:eastAsiaTheme="minorHAnsi" w:hAnsi="Times New Roman" w:cs="Times New Roman"/>
          <w:color w:val="000000"/>
          <w:sz w:val="24"/>
          <w:szCs w:val="24"/>
          <w:lang w:val="en-US" w:eastAsia="en-US" w:bidi="ar-SA"/>
        </w:rPr>
        <w:t>.</w:t>
      </w:r>
    </w:p>
    <w:p w14:paraId="4B332F54" w14:textId="05C96A80" w:rsidR="0087757B" w:rsidRPr="00BF3C5D" w:rsidRDefault="0087757B" w:rsidP="00BF3C5D">
      <w:pPr>
        <w:widowControl/>
        <w:adjustRightInd w:val="0"/>
        <w:spacing w:before="120" w:after="120" w:line="360" w:lineRule="auto"/>
        <w:jc w:val="both"/>
        <w:rPr>
          <w:rFonts w:ascii="Times New Roman" w:eastAsiaTheme="minorHAnsi" w:hAnsi="Times New Roman" w:cs="Times New Roman"/>
          <w:color w:val="000000"/>
          <w:sz w:val="24"/>
          <w:szCs w:val="24"/>
          <w:lang w:val="en-US" w:eastAsia="en-US" w:bidi="ar-SA"/>
        </w:rPr>
      </w:pPr>
      <w:r w:rsidRPr="00BF3C5D">
        <w:rPr>
          <w:rFonts w:ascii="Times New Roman" w:eastAsiaTheme="minorHAnsi" w:hAnsi="Times New Roman" w:cs="Times New Roman"/>
          <w:color w:val="000000"/>
          <w:sz w:val="24"/>
          <w:szCs w:val="24"/>
          <w:lang w:val="en-US" w:eastAsia="en-US" w:bidi="ar-SA"/>
        </w:rPr>
        <w:t xml:space="preserve">Infection progress was monitored </w:t>
      </w:r>
      <w:r w:rsidR="00673FD5">
        <w:rPr>
          <w:rFonts w:ascii="Times New Roman" w:eastAsiaTheme="minorHAnsi" w:hAnsi="Times New Roman" w:cs="Times New Roman"/>
          <w:color w:val="000000"/>
          <w:sz w:val="24"/>
          <w:szCs w:val="24"/>
          <w:lang w:val="en-US" w:eastAsia="en-US" w:bidi="ar-SA"/>
        </w:rPr>
        <w:t xml:space="preserve">daily </w:t>
      </w:r>
      <w:r w:rsidRPr="00BF3C5D">
        <w:rPr>
          <w:rFonts w:ascii="Times New Roman" w:eastAsiaTheme="minorHAnsi" w:hAnsi="Times New Roman" w:cs="Times New Roman"/>
          <w:color w:val="000000"/>
          <w:sz w:val="24"/>
          <w:szCs w:val="24"/>
          <w:lang w:val="en-US" w:eastAsia="en-US" w:bidi="ar-SA"/>
        </w:rPr>
        <w:t xml:space="preserve">by staining blood smears with Wright’s eosin methylene blue solution (Merck) followed by counting pRBC under the microscope and quantitative determination of percent parasitemia using the PlasmoScore software </w:t>
      </w:r>
      <w:commentRangeStart w:id="5"/>
      <w:r w:rsidRPr="00BF3C5D">
        <w:rPr>
          <w:rFonts w:ascii="Times New Roman" w:eastAsiaTheme="minorHAnsi" w:hAnsi="Times New Roman" w:cs="Times New Roman"/>
          <w:color w:val="000000"/>
          <w:sz w:val="24"/>
          <w:szCs w:val="24"/>
          <w:lang w:val="en-US" w:eastAsia="en-US" w:bidi="ar-SA"/>
        </w:rPr>
        <w:t>(1.3 versions)</w:t>
      </w:r>
      <w:commentRangeEnd w:id="5"/>
      <w:r w:rsidR="00673FD5">
        <w:rPr>
          <w:rStyle w:val="CommentReference"/>
        </w:rPr>
        <w:commentReference w:id="5"/>
      </w:r>
      <w:r w:rsidRPr="00BF3C5D">
        <w:rPr>
          <w:rFonts w:ascii="Times New Roman" w:eastAsiaTheme="minorHAnsi" w:hAnsi="Times New Roman" w:cs="Times New Roman"/>
          <w:color w:val="000000"/>
          <w:sz w:val="24"/>
          <w:szCs w:val="24"/>
          <w:lang w:val="en-US" w:eastAsia="en-US" w:bidi="ar-SA"/>
        </w:rPr>
        <w:t>. Moreover, the neurological performance of the animals was evaluated</w:t>
      </w:r>
      <w:r w:rsidR="00673FD5">
        <w:rPr>
          <w:rFonts w:ascii="Times New Roman" w:eastAsiaTheme="minorHAnsi" w:hAnsi="Times New Roman" w:cs="Times New Roman"/>
          <w:color w:val="000000"/>
          <w:sz w:val="24"/>
          <w:szCs w:val="24"/>
          <w:lang w:val="en-US" w:eastAsia="en-US" w:bidi="ar-SA"/>
        </w:rPr>
        <w:t xml:space="preserve"> daily</w:t>
      </w:r>
      <w:r w:rsidRPr="00BF3C5D">
        <w:rPr>
          <w:rFonts w:ascii="Times New Roman" w:eastAsiaTheme="minorHAnsi" w:hAnsi="Times New Roman" w:cs="Times New Roman"/>
          <w:color w:val="000000"/>
          <w:sz w:val="24"/>
          <w:szCs w:val="24"/>
          <w:lang w:val="en-US" w:eastAsia="en-US" w:bidi="ar-SA"/>
        </w:rPr>
        <w:t xml:space="preserve"> in individual mice by recording clinical symptoms including ruffled fur, abnormal gait, tremor, reduced grip strength, affected startle, abnormal visual response, reduced motility, head deviation, hemi- or paraplegia, tendency to roll over on stimulation, back elevation, ataxia</w:t>
      </w:r>
      <w:r w:rsidR="00673FD5">
        <w:rPr>
          <w:rFonts w:ascii="Times New Roman" w:eastAsiaTheme="minorHAnsi" w:hAnsi="Times New Roman" w:cs="Times New Roman"/>
          <w:color w:val="000000"/>
          <w:sz w:val="24"/>
          <w:szCs w:val="24"/>
          <w:lang w:val="en-US" w:eastAsia="en-US" w:bidi="ar-SA"/>
        </w:rPr>
        <w:t>,</w:t>
      </w:r>
      <w:r w:rsidRPr="00BF3C5D">
        <w:rPr>
          <w:rFonts w:ascii="Times New Roman" w:eastAsiaTheme="minorHAnsi" w:hAnsi="Times New Roman" w:cs="Times New Roman"/>
          <w:color w:val="000000"/>
          <w:sz w:val="24"/>
          <w:szCs w:val="24"/>
          <w:lang w:val="en-US" w:eastAsia="en-US" w:bidi="ar-SA"/>
        </w:rPr>
        <w:t xml:space="preserve"> and convulsions. According to previous standardizations of the experimental cerebral malaria </w:t>
      </w:r>
      <w:r w:rsidRPr="00BF3C5D">
        <w:rPr>
          <w:rFonts w:ascii="Times New Roman" w:eastAsiaTheme="minorHAnsi" w:hAnsi="Times New Roman" w:cs="Times New Roman"/>
          <w:color w:val="000000"/>
          <w:sz w:val="24"/>
          <w:szCs w:val="24"/>
          <w:lang w:val="en-US" w:eastAsia="en-US" w:bidi="ar-SA"/>
        </w:rPr>
        <w:fldChar w:fldCharType="begin" w:fldLock="1"/>
      </w:r>
      <w:r w:rsidR="003F6C97" w:rsidRPr="00BF3C5D">
        <w:rPr>
          <w:rFonts w:ascii="Times New Roman" w:eastAsiaTheme="minorHAnsi" w:hAnsi="Times New Roman" w:cs="Times New Roman"/>
          <w:color w:val="000000"/>
          <w:sz w:val="24"/>
          <w:szCs w:val="24"/>
          <w:lang w:val="en-US" w:eastAsia="en-US" w:bidi="ar-SA"/>
        </w:rPr>
        <w:instrText>ADDIN CSL_CITATION {"citationItems":[{"id":"ITEM-1","itemData":{"author":[{"dropping-particle":"","family":"Martinez","given":"Gabriela","non-dropping-particle":"","parse-names":false,"suffix":""},{"dropping-particle":"","family":"Linares","given":"María","non-dropping-particle":"","parse-names":false,"suffix":""},{"dropping-particle":"","family":"Marin-Garcia","given":"Patricia","non-dropping-particle":"","parse-names":false,"suffix":""},{"dropping-particle":"","family":"Benavente","given":"S P","non-dropping-particle":"","parse-names":false,"suffix":""},{"dropping-particle":"","family":"Puyet","given":"Antonio","non-dropping-particle":"","parse-names":false,"suffix":""},{"dropping-particle":"","family":"Bautista","given":"José","non-dropping-particle":"","parse-names":false,"suffix":""},{"dropping-particle":"","family":"Diez","given":"Amalia","non-dropping-particle":"","parse-names":false,"suffix":""}],"container-title":"Anales de la Real Academia Nacional de Farmacia","id":"ITEM-1","issued":{"date-parts":[["2013","1"]]},"number-of-pages":"274-292","title":"Standardization of a cerebral malaria murine model in clinical stages for antimalarial and rescue therapies evaluation","type":"book","volume":"79"},"uris":["http://www.mendeley.com/documents/?uuid=ae54fbef-d05b-33b4-be06-1e22a54fd6d5"]},{"id":"ITEM-2","itemData":{"DOI":"10.1016/j.brainres.2012.10.040","ISSN":"00068993","PMID":"23123703","abstract":"The role of neurotrophic factors on the integrity of the central nervous system (CNS) during cerebral malaria (CM) infection remains obscure, but the long-standing neurocognitive sequelae often observed in rescued children can be attributed in part to the modulation of neuronal survival and synaptic plasticity. To discriminate the contribution of key responses in the time-sequence of the pathogenic events that trigger the development of neurocognitive malaria syndrome we defined four stages (I-IV) of the neurological progression of CM in C57BL/6 mice infected with Plasmodium berghei ANKA. Upregulation of ICAM-1, VCAM-1, e-selectin and p-selectin expression was detected in all cerebral regions before parasitized red blood cells (pRBC) accumulation. As the severity of symptoms increased, BDNF mRNA progressively diminished in several brain regions, earliest in the thalamus-hypothalamus, cerebellum, brainstem and cortex, and correlated with a four-stage disease sequence. Immunohistochemical confocal microscopy revealed changes in the BDNF distribution pattern, suggesting altered axonal transport. During CM progression, molecular markers of neurological infection and inflammation in the parasite and the host, respectively, were accompanied by a switch in the brain constitutive proteasome to the immunoproteasome, which could impede normal protein turnover. In parallel with BDNF downregulation, NCAM expression also diminished with increased CM severity. Together, these data suggest that changes in BDNF availability could be involved in the pathogenesis of CM. © 2012 Elsevier B.V.","author":[{"dropping-particle":"","family":"Linares","given":"María","non-dropping-particle":"","parse-names":false,"suffix":""},{"dropping-particle":"","family":"Marín-García","given":"Patricia","non-dropping-particle":"","parse-names":false,"suffix":""},{"dropping-particle":"","family":"Pérez-Benavente","given":"Susana","non-dropping-particle":"","parse-names":false,"suffix":""},{"dropping-particle":"","family":"Sánchez-Nogueiro","given":"Jesús","non-dropping-particle":"","parse-names":false,"suffix":""},{"dropping-particle":"","family":"Puyet","given":"Antonio","non-dropping-particle":"","parse-names":false,"suffix":""},{"dropping-particle":"","family":"Bautista","given":"José M","non-dropping-particle":"","parse-names":false,"suffix":""},{"dropping-particle":"","family":"Diez","given":"Amalia","non-dropping-particle":"","parse-names":false,"suffix":""}],"container-title":"Brain Research","id":"ITEM-2","issued":{"date-parts":[["2013"]]},"page":"210-224","title":"Brain-derived neurotrophic factor and the course of experimental cerebral malaria","type":"article-journal","volume":"1490"},"uris":["http://www.mendeley.com/documents/?uuid=bde6da24-475e-3cc5-840b-0ebe41f7a31b"]}],"mendeley":{"formattedCitation":"(Linares et al., 2013; Martinez et al., 2013)","plainTextFormattedCitation":"(Linares et al., 2013; Martinez et al., 2013)","previouslyFormattedCitation":"(Linares et al., 2013; Martinez et al., 2013)"},"properties":{"noteIndex":0},"schema":"https://github.com/citation-style-language/schema/raw/master/csl-citation.json"}</w:instrText>
      </w:r>
      <w:r w:rsidRPr="00BF3C5D">
        <w:rPr>
          <w:rFonts w:ascii="Times New Roman" w:eastAsiaTheme="minorHAnsi" w:hAnsi="Times New Roman" w:cs="Times New Roman"/>
          <w:color w:val="000000"/>
          <w:sz w:val="24"/>
          <w:szCs w:val="24"/>
          <w:lang w:val="en-US" w:eastAsia="en-US" w:bidi="ar-SA"/>
        </w:rPr>
        <w:fldChar w:fldCharType="separate"/>
      </w:r>
      <w:r w:rsidRPr="00BF3C5D">
        <w:rPr>
          <w:rFonts w:ascii="Times New Roman" w:eastAsiaTheme="minorHAnsi" w:hAnsi="Times New Roman" w:cs="Times New Roman"/>
          <w:noProof/>
          <w:color w:val="000000"/>
          <w:sz w:val="24"/>
          <w:szCs w:val="24"/>
          <w:lang w:val="en-US" w:eastAsia="en-US" w:bidi="ar-SA"/>
        </w:rPr>
        <w:t>(Linares et al., 2013; Martinez et al., 2013)</w:t>
      </w:r>
      <w:r w:rsidRPr="00BF3C5D">
        <w:rPr>
          <w:rFonts w:ascii="Times New Roman" w:eastAsiaTheme="minorHAnsi" w:hAnsi="Times New Roman" w:cs="Times New Roman"/>
          <w:color w:val="000000"/>
          <w:sz w:val="24"/>
          <w:szCs w:val="24"/>
          <w:lang w:val="en-US" w:eastAsia="en-US" w:bidi="ar-SA"/>
        </w:rPr>
        <w:fldChar w:fldCharType="end"/>
      </w:r>
      <w:r w:rsidRPr="00BF3C5D">
        <w:rPr>
          <w:rFonts w:ascii="Times New Roman" w:eastAsiaTheme="minorHAnsi" w:hAnsi="Times New Roman" w:cs="Times New Roman"/>
          <w:color w:val="000000"/>
          <w:sz w:val="24"/>
          <w:szCs w:val="24"/>
          <w:lang w:val="en-US" w:eastAsia="en-US" w:bidi="ar-SA"/>
        </w:rPr>
        <w:t xml:space="preserve">, infected animals were grouped in disease stages from I to IV depending on the severity of their neurological signs as follows: </w:t>
      </w:r>
      <w:r w:rsidR="00BC056C">
        <w:rPr>
          <w:rFonts w:ascii="Times New Roman" w:eastAsiaTheme="minorHAnsi" w:hAnsi="Times New Roman" w:cs="Times New Roman"/>
          <w:color w:val="000000"/>
          <w:sz w:val="24"/>
          <w:szCs w:val="24"/>
          <w:lang w:val="en-US" w:eastAsia="en-US" w:bidi="ar-SA"/>
        </w:rPr>
        <w:t>stage</w:t>
      </w:r>
      <w:r w:rsidR="00BC056C" w:rsidRPr="00BF3C5D">
        <w:rPr>
          <w:rFonts w:ascii="Times New Roman" w:eastAsiaTheme="minorHAnsi" w:hAnsi="Times New Roman" w:cs="Times New Roman"/>
          <w:color w:val="000000"/>
          <w:sz w:val="24"/>
          <w:szCs w:val="24"/>
          <w:lang w:val="en-US" w:eastAsia="en-US" w:bidi="ar-SA"/>
        </w:rPr>
        <w:t xml:space="preserve"> </w:t>
      </w:r>
      <w:r w:rsidRPr="00BF3C5D">
        <w:rPr>
          <w:rFonts w:ascii="Times New Roman" w:eastAsiaTheme="minorHAnsi" w:hAnsi="Times New Roman" w:cs="Times New Roman"/>
          <w:color w:val="000000"/>
          <w:sz w:val="24"/>
          <w:szCs w:val="24"/>
          <w:lang w:val="en-US" w:eastAsia="en-US" w:bidi="ar-SA"/>
        </w:rPr>
        <w:t xml:space="preserve">I, no </w:t>
      </w:r>
      <w:r w:rsidRPr="00BF3C5D">
        <w:rPr>
          <w:rFonts w:ascii="Times New Roman" w:eastAsiaTheme="minorHAnsi" w:hAnsi="Times New Roman" w:cs="Times New Roman"/>
          <w:sz w:val="24"/>
          <w:szCs w:val="24"/>
          <w:lang w:val="en-US" w:eastAsia="en-US" w:bidi="ar-SA"/>
        </w:rPr>
        <w:t>neurological symptoms in the</w:t>
      </w:r>
      <w:r w:rsidRPr="00BF3C5D">
        <w:rPr>
          <w:rFonts w:ascii="Times New Roman" w:eastAsiaTheme="minorHAnsi" w:hAnsi="Times New Roman" w:cs="Times New Roman"/>
          <w:color w:val="000000"/>
          <w:sz w:val="24"/>
          <w:szCs w:val="24"/>
          <w:lang w:val="en-US" w:eastAsia="en-US" w:bidi="ar-SA"/>
        </w:rPr>
        <w:t xml:space="preserve"> </w:t>
      </w:r>
      <w:r w:rsidRPr="00BF3C5D">
        <w:rPr>
          <w:rFonts w:ascii="Times New Roman" w:eastAsiaTheme="minorHAnsi" w:hAnsi="Times New Roman" w:cs="Times New Roman"/>
          <w:sz w:val="24"/>
          <w:szCs w:val="24"/>
          <w:lang w:val="en-US" w:eastAsia="en-US" w:bidi="ar-SA"/>
        </w:rPr>
        <w:t xml:space="preserve">first few days of infection; </w:t>
      </w:r>
      <w:r w:rsidR="00BC056C">
        <w:rPr>
          <w:rFonts w:ascii="Times New Roman" w:eastAsiaTheme="minorHAnsi" w:hAnsi="Times New Roman" w:cs="Times New Roman"/>
          <w:sz w:val="24"/>
          <w:szCs w:val="24"/>
          <w:lang w:val="en-US" w:eastAsia="en-US" w:bidi="ar-SA"/>
        </w:rPr>
        <w:t>stage</w:t>
      </w:r>
      <w:r w:rsidR="00BC056C" w:rsidRPr="00BF3C5D">
        <w:rPr>
          <w:rFonts w:ascii="Times New Roman" w:eastAsiaTheme="minorHAnsi" w:hAnsi="Times New Roman" w:cs="Times New Roman"/>
          <w:sz w:val="24"/>
          <w:szCs w:val="24"/>
          <w:lang w:val="en-US" w:eastAsia="en-US" w:bidi="ar-SA"/>
        </w:rPr>
        <w:t xml:space="preserve"> </w:t>
      </w:r>
      <w:r w:rsidRPr="00BF3C5D">
        <w:rPr>
          <w:rFonts w:ascii="Times New Roman" w:eastAsiaTheme="minorHAnsi" w:hAnsi="Times New Roman" w:cs="Times New Roman"/>
          <w:sz w:val="24"/>
          <w:szCs w:val="24"/>
          <w:lang w:val="en-US" w:eastAsia="en-US" w:bidi="ar-SA"/>
        </w:rPr>
        <w:t xml:space="preserve">II, incipient symptoms of CM; </w:t>
      </w:r>
      <w:r w:rsidR="00BC056C">
        <w:rPr>
          <w:rFonts w:ascii="Times New Roman" w:eastAsiaTheme="minorHAnsi" w:hAnsi="Times New Roman" w:cs="Times New Roman"/>
          <w:sz w:val="24"/>
          <w:szCs w:val="24"/>
          <w:lang w:val="en-US" w:eastAsia="en-US" w:bidi="ar-SA"/>
        </w:rPr>
        <w:t>stage</w:t>
      </w:r>
      <w:r w:rsidR="00BC056C" w:rsidRPr="00BF3C5D">
        <w:rPr>
          <w:rFonts w:ascii="Times New Roman" w:eastAsiaTheme="minorHAnsi" w:hAnsi="Times New Roman" w:cs="Times New Roman"/>
          <w:sz w:val="24"/>
          <w:szCs w:val="24"/>
          <w:lang w:val="en-US" w:eastAsia="en-US" w:bidi="ar-SA"/>
        </w:rPr>
        <w:t xml:space="preserve"> </w:t>
      </w:r>
      <w:r w:rsidRPr="00BF3C5D">
        <w:rPr>
          <w:rFonts w:ascii="Times New Roman" w:eastAsiaTheme="minorHAnsi" w:hAnsi="Times New Roman" w:cs="Times New Roman"/>
          <w:sz w:val="24"/>
          <w:szCs w:val="24"/>
          <w:lang w:val="en-US" w:eastAsia="en-US" w:bidi="ar-SA"/>
        </w:rPr>
        <w:t xml:space="preserve">III, appreciable neurological symptoms; and </w:t>
      </w:r>
      <w:r w:rsidR="00BC056C">
        <w:rPr>
          <w:rFonts w:ascii="Times New Roman" w:eastAsiaTheme="minorHAnsi" w:hAnsi="Times New Roman" w:cs="Times New Roman"/>
          <w:sz w:val="24"/>
          <w:szCs w:val="24"/>
          <w:lang w:val="en-US" w:eastAsia="en-US" w:bidi="ar-SA"/>
        </w:rPr>
        <w:t>stage</w:t>
      </w:r>
      <w:r w:rsidR="00BC056C" w:rsidRPr="00BF3C5D">
        <w:rPr>
          <w:rFonts w:ascii="Times New Roman" w:eastAsiaTheme="minorHAnsi" w:hAnsi="Times New Roman" w:cs="Times New Roman"/>
          <w:sz w:val="24"/>
          <w:szCs w:val="24"/>
          <w:lang w:val="en-US" w:eastAsia="en-US" w:bidi="ar-SA"/>
        </w:rPr>
        <w:t xml:space="preserve"> </w:t>
      </w:r>
      <w:r w:rsidRPr="00BF3C5D">
        <w:rPr>
          <w:rFonts w:ascii="Times New Roman" w:eastAsiaTheme="minorHAnsi" w:hAnsi="Times New Roman" w:cs="Times New Roman"/>
          <w:sz w:val="24"/>
          <w:szCs w:val="24"/>
          <w:lang w:val="en-US" w:eastAsia="en-US" w:bidi="ar-SA"/>
        </w:rPr>
        <w:t>IV, severe symptoms. After the death of the animals, their brain tissue was immediately removed, fixed in 10% formaldehyde</w:t>
      </w:r>
      <w:r w:rsidR="00673FD5">
        <w:rPr>
          <w:rFonts w:ascii="Times New Roman" w:eastAsiaTheme="minorHAnsi" w:hAnsi="Times New Roman" w:cs="Times New Roman"/>
          <w:sz w:val="24"/>
          <w:szCs w:val="24"/>
          <w:lang w:val="en-US" w:eastAsia="en-US" w:bidi="ar-SA"/>
        </w:rPr>
        <w:t>,</w:t>
      </w:r>
      <w:r w:rsidRPr="00BF3C5D">
        <w:rPr>
          <w:rFonts w:ascii="Times New Roman" w:eastAsiaTheme="minorHAnsi" w:hAnsi="Times New Roman" w:cs="Times New Roman"/>
          <w:sz w:val="24"/>
          <w:szCs w:val="24"/>
          <w:lang w:val="en-US" w:eastAsia="en-US" w:bidi="ar-SA"/>
        </w:rPr>
        <w:t xml:space="preserve"> and embedded in paraffin. Series of 5 </w:t>
      </w:r>
      <w:r w:rsidRPr="008D1177">
        <w:rPr>
          <w:rFonts w:ascii="Times New Roman" w:eastAsiaTheme="minorHAnsi" w:hAnsi="Times New Roman" w:cs="Times New Roman"/>
          <w:i/>
          <w:iCs/>
          <w:sz w:val="24"/>
          <w:szCs w:val="24"/>
          <w:lang w:val="en-US" w:eastAsia="en-US" w:bidi="ar-SA"/>
        </w:rPr>
        <w:t>μm</w:t>
      </w:r>
      <w:r w:rsidRPr="00BF3C5D">
        <w:rPr>
          <w:rFonts w:ascii="Times New Roman" w:eastAsiaTheme="minorHAnsi" w:hAnsi="Times New Roman" w:cs="Times New Roman"/>
          <w:sz w:val="24"/>
          <w:szCs w:val="24"/>
          <w:lang w:val="en-US" w:eastAsia="en-US" w:bidi="ar-SA"/>
        </w:rPr>
        <w:t xml:space="preserve">-thick were cut and stained with hematoxylin and eosin to elucidate and assess histopathological damages. </w:t>
      </w:r>
    </w:p>
    <w:p w14:paraId="05AB8B4D" w14:textId="77777777" w:rsidR="0087757B" w:rsidRPr="00BF3C5D" w:rsidRDefault="0087757B" w:rsidP="00BF3C5D">
      <w:pPr>
        <w:pStyle w:val="Heading1"/>
        <w:rPr>
          <w:lang w:val="en-US"/>
        </w:rPr>
      </w:pPr>
      <w:r w:rsidRPr="00BF3C5D">
        <w:rPr>
          <w:lang w:val="en-US"/>
        </w:rPr>
        <w:t>RESULTS AND DISCUSSION</w:t>
      </w:r>
    </w:p>
    <w:p w14:paraId="210BBE06" w14:textId="77777777" w:rsidR="0087757B" w:rsidRPr="00BF3C5D" w:rsidRDefault="0087757B" w:rsidP="00C52E77">
      <w:pPr>
        <w:pStyle w:val="Heading2"/>
        <w:rPr>
          <w:lang w:val="en-US"/>
        </w:rPr>
      </w:pPr>
      <w:r w:rsidRPr="00BF3C5D">
        <w:rPr>
          <w:lang w:val="en-US"/>
        </w:rPr>
        <w:t>CB</w:t>
      </w:r>
      <w:r w:rsidRPr="00BF3C5D">
        <w:rPr>
          <w:vertAlign w:val="subscript"/>
          <w:lang w:val="en-US"/>
        </w:rPr>
        <w:t>1</w:t>
      </w:r>
      <w:r w:rsidRPr="00BF3C5D">
        <w:rPr>
          <w:lang w:val="en-US"/>
        </w:rPr>
        <w:t>/CB</w:t>
      </w:r>
      <w:r w:rsidRPr="00BF3C5D">
        <w:rPr>
          <w:vertAlign w:val="subscript"/>
          <w:lang w:val="en-US"/>
        </w:rPr>
        <w:t>2</w:t>
      </w:r>
      <w:r w:rsidRPr="00BF3C5D">
        <w:rPr>
          <w:lang w:val="en-US"/>
        </w:rPr>
        <w:t xml:space="preserve"> receptor binding studies for SR144528</w:t>
      </w:r>
    </w:p>
    <w:p w14:paraId="22AD561B" w14:textId="08A2CB3E" w:rsidR="0087757B" w:rsidRPr="00BF3C5D" w:rsidRDefault="0087757B" w:rsidP="008D1177">
      <w:pPr>
        <w:pStyle w:val="CommentText"/>
        <w:spacing w:after="120" w:line="360" w:lineRule="auto"/>
        <w:jc w:val="both"/>
        <w:rPr>
          <w:lang w:val="en-US"/>
        </w:rPr>
      </w:pPr>
      <w:r w:rsidRPr="00BF3C5D">
        <w:rPr>
          <w:rFonts w:ascii="Times New Roman" w:hAnsi="Times New Roman" w:cs="Times New Roman"/>
          <w:sz w:val="24"/>
          <w:szCs w:val="24"/>
          <w:lang w:val="en-US"/>
        </w:rPr>
        <w:t>The CB</w:t>
      </w:r>
      <w:r w:rsidRPr="00BF3C5D">
        <w:rPr>
          <w:rFonts w:ascii="Times New Roman" w:hAnsi="Times New Roman" w:cs="Times New Roman"/>
          <w:sz w:val="24"/>
          <w:szCs w:val="24"/>
          <w:vertAlign w:val="subscript"/>
          <w:lang w:val="en-US"/>
        </w:rPr>
        <w:t>1</w:t>
      </w:r>
      <w:r w:rsidRPr="00BF3C5D">
        <w:rPr>
          <w:rFonts w:ascii="Times New Roman" w:hAnsi="Times New Roman" w:cs="Times New Roman"/>
          <w:sz w:val="24"/>
          <w:szCs w:val="24"/>
          <w:lang w:val="en-US"/>
        </w:rPr>
        <w:t xml:space="preserve"> and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 binding affinities of SR144528 were evaluated by radioligand </w:t>
      </w:r>
      <w:r w:rsidRPr="00BF3C5D">
        <w:rPr>
          <w:rFonts w:ascii="Times New Roman" w:hAnsi="Times New Roman" w:cs="Times New Roman"/>
          <w:sz w:val="24"/>
          <w:szCs w:val="24"/>
          <w:lang w:val="en-US"/>
        </w:rPr>
        <w:lastRenderedPageBreak/>
        <w:t>binding assays carried out by competition with [</w:t>
      </w:r>
      <w:r w:rsidRPr="00BF3C5D">
        <w:rPr>
          <w:rFonts w:ascii="Times New Roman" w:hAnsi="Times New Roman" w:cs="Times New Roman"/>
          <w:sz w:val="24"/>
          <w:szCs w:val="24"/>
          <w:vertAlign w:val="superscript"/>
          <w:lang w:val="en-US"/>
        </w:rPr>
        <w:t>3</w:t>
      </w:r>
      <w:r w:rsidRPr="00BF3C5D">
        <w:rPr>
          <w:rFonts w:ascii="Times New Roman" w:hAnsi="Times New Roman" w:cs="Times New Roman"/>
          <w:sz w:val="24"/>
          <w:szCs w:val="24"/>
          <w:lang w:val="en-US"/>
        </w:rPr>
        <w:t xml:space="preserve">H]-CP 55,940 and the data of receptor affinities and selectivity are shown in Table 1. These data indicate that SR144528 </w:t>
      </w:r>
      <w:r w:rsidR="008D5781" w:rsidRPr="00BF3C5D">
        <w:rPr>
          <w:rFonts w:ascii="Times New Roman" w:hAnsi="Times New Roman" w:cs="Times New Roman"/>
          <w:sz w:val="24"/>
          <w:szCs w:val="24"/>
          <w:lang w:val="en-US"/>
        </w:rPr>
        <w:t>can</w:t>
      </w:r>
      <w:r w:rsidRPr="00BF3C5D">
        <w:rPr>
          <w:rFonts w:ascii="Times New Roman" w:hAnsi="Times New Roman" w:cs="Times New Roman"/>
          <w:sz w:val="24"/>
          <w:szCs w:val="24"/>
          <w:lang w:val="en-US"/>
        </w:rPr>
        <w:t xml:space="preserve"> bind at the CB</w:t>
      </w:r>
      <w:r w:rsidRPr="00BF3C5D">
        <w:rPr>
          <w:rFonts w:ascii="Times New Roman" w:hAnsi="Times New Roman" w:cs="Times New Roman"/>
          <w:sz w:val="24"/>
          <w:szCs w:val="24"/>
          <w:vertAlign w:val="subscript"/>
          <w:lang w:val="en-US"/>
        </w:rPr>
        <w:t>1</w:t>
      </w:r>
      <w:r w:rsidRPr="00BF3C5D">
        <w:rPr>
          <w:rFonts w:ascii="Times New Roman" w:hAnsi="Times New Roman" w:cs="Times New Roman"/>
          <w:sz w:val="24"/>
          <w:szCs w:val="24"/>
          <w:lang w:val="en-US"/>
        </w:rPr>
        <w:t xml:space="preserve"> receptor with a </w:t>
      </w:r>
      <w:r w:rsidRPr="008D1177">
        <w:rPr>
          <w:rFonts w:ascii="Times New Roman" w:hAnsi="Times New Roman" w:cs="Times New Roman"/>
          <w:i/>
          <w:iCs/>
          <w:sz w:val="24"/>
          <w:szCs w:val="24"/>
          <w:lang w:val="en-US"/>
        </w:rPr>
        <w:t>Ki</w:t>
      </w:r>
      <w:r w:rsidRPr="00BF3C5D">
        <w:rPr>
          <w:rFonts w:ascii="Times New Roman" w:hAnsi="Times New Roman" w:cs="Times New Roman"/>
          <w:sz w:val="24"/>
          <w:szCs w:val="24"/>
          <w:lang w:val="en-US"/>
        </w:rPr>
        <w:t xml:space="preserve"> in the high </w:t>
      </w:r>
      <w:proofErr w:type="spellStart"/>
      <w:r w:rsidRPr="008D1177">
        <w:rPr>
          <w:rFonts w:ascii="Times New Roman" w:hAnsi="Times New Roman" w:cs="Times New Roman"/>
          <w:i/>
          <w:iCs/>
          <w:sz w:val="24"/>
          <w:szCs w:val="24"/>
          <w:lang w:val="en-US"/>
        </w:rPr>
        <w:t>nM</w:t>
      </w:r>
      <w:proofErr w:type="spellEnd"/>
      <w:r w:rsidRPr="00BF3C5D">
        <w:rPr>
          <w:rFonts w:ascii="Times New Roman" w:hAnsi="Times New Roman" w:cs="Times New Roman"/>
          <w:sz w:val="24"/>
          <w:szCs w:val="24"/>
          <w:lang w:val="en-US"/>
        </w:rPr>
        <w:t xml:space="preserve"> ran</w:t>
      </w:r>
      <w:r w:rsidRPr="00984C6E">
        <w:rPr>
          <w:rFonts w:ascii="Times New Roman" w:hAnsi="Times New Roman" w:cs="Times New Roman"/>
          <w:sz w:val="24"/>
          <w:szCs w:val="24"/>
          <w:lang w:val="en-US"/>
        </w:rPr>
        <w:t xml:space="preserve">ge, </w:t>
      </w:r>
      <w:r w:rsidRPr="00984C6E">
        <w:rPr>
          <w:rFonts w:ascii="Times New Roman" w:hAnsi="Times New Roman" w:cs="Times New Roman"/>
          <w:color w:val="222222"/>
          <w:sz w:val="24"/>
          <w:szCs w:val="24"/>
          <w:shd w:val="clear" w:color="auto" w:fill="FFFFFF"/>
          <w:lang w:val="en-US"/>
        </w:rPr>
        <w:t xml:space="preserve">but </w:t>
      </w:r>
      <w:r w:rsidR="008D5781" w:rsidRPr="00984C6E">
        <w:rPr>
          <w:rFonts w:ascii="Times New Roman" w:hAnsi="Times New Roman" w:cs="Times New Roman"/>
          <w:color w:val="222222"/>
          <w:sz w:val="24"/>
          <w:szCs w:val="24"/>
          <w:shd w:val="clear" w:color="auto" w:fill="FFFFFF"/>
          <w:lang w:val="en-US"/>
        </w:rPr>
        <w:t xml:space="preserve">that </w:t>
      </w:r>
      <w:r w:rsidRPr="00984C6E">
        <w:rPr>
          <w:rFonts w:ascii="Times New Roman" w:hAnsi="Times New Roman" w:cs="Times New Roman"/>
          <w:color w:val="222222"/>
          <w:sz w:val="24"/>
          <w:szCs w:val="24"/>
          <w:shd w:val="clear" w:color="auto" w:fill="FFFFFF"/>
          <w:lang w:val="en-US"/>
        </w:rPr>
        <w:t xml:space="preserve">it has a higher affinity for the CB2 receptor, </w:t>
      </w:r>
      <w:r w:rsidRPr="00984C6E">
        <w:rPr>
          <w:rFonts w:ascii="Times New Roman" w:hAnsi="Times New Roman" w:cs="Times New Roman"/>
          <w:sz w:val="24"/>
          <w:szCs w:val="24"/>
          <w:lang w:val="en-US"/>
        </w:rPr>
        <w:t>reaching</w:t>
      </w:r>
      <w:r w:rsidRPr="00BF3C5D">
        <w:rPr>
          <w:rFonts w:ascii="Times New Roman" w:hAnsi="Times New Roman" w:cs="Times New Roman"/>
          <w:sz w:val="24"/>
          <w:szCs w:val="24"/>
          <w:lang w:val="en-US"/>
        </w:rPr>
        <w:t xml:space="preserve"> a Ki value in the low </w:t>
      </w:r>
      <w:proofErr w:type="spellStart"/>
      <w:r w:rsidRPr="00BF3C5D">
        <w:rPr>
          <w:rFonts w:ascii="Times New Roman" w:hAnsi="Times New Roman" w:cs="Times New Roman"/>
          <w:sz w:val="24"/>
          <w:szCs w:val="24"/>
          <w:lang w:val="en-US"/>
        </w:rPr>
        <w:t>nM</w:t>
      </w:r>
      <w:proofErr w:type="spellEnd"/>
      <w:r w:rsidRPr="00BF3C5D">
        <w:rPr>
          <w:rFonts w:ascii="Times New Roman" w:hAnsi="Times New Roman" w:cs="Times New Roman"/>
          <w:sz w:val="24"/>
          <w:szCs w:val="24"/>
          <w:lang w:val="en-US"/>
        </w:rPr>
        <w:t xml:space="preserve"> range and with a CB</w:t>
      </w:r>
      <w:r w:rsidRPr="00BF3C5D">
        <w:rPr>
          <w:rFonts w:ascii="Times New Roman" w:hAnsi="Times New Roman" w:cs="Times New Roman"/>
          <w:sz w:val="24"/>
          <w:szCs w:val="24"/>
          <w:vertAlign w:val="subscript"/>
          <w:lang w:val="en-US"/>
        </w:rPr>
        <w:t>1</w:t>
      </w:r>
      <w:r w:rsidRPr="00BF3C5D">
        <w:rPr>
          <w:rFonts w:ascii="Times New Roman" w:hAnsi="Times New Roman" w:cs="Times New Roman"/>
          <w:sz w:val="24"/>
          <w:szCs w:val="24"/>
          <w:lang w:val="en-US"/>
        </w:rPr>
        <w:t>/CB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ratio of 36.2 (Table 1). </w:t>
      </w:r>
    </w:p>
    <w:tbl>
      <w:tblPr>
        <w:tblStyle w:val="TableGrid"/>
        <w:tblpPr w:leftFromText="141" w:rightFromText="141" w:vertAnchor="text" w:horzAnchor="margin" w:tblpXSpec="center" w:tblpY="135"/>
        <w:tblW w:w="0" w:type="auto"/>
        <w:tblInd w:w="0"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150"/>
        <w:gridCol w:w="2100"/>
        <w:gridCol w:w="2064"/>
        <w:gridCol w:w="2160"/>
      </w:tblGrid>
      <w:tr w:rsidR="0087757B" w:rsidRPr="00BF3C5D" w14:paraId="7C4D9464" w14:textId="77777777" w:rsidTr="00C25609">
        <w:trPr>
          <w:trHeight w:val="481"/>
        </w:trPr>
        <w:tc>
          <w:tcPr>
            <w:tcW w:w="2150" w:type="dxa"/>
            <w:shd w:val="clear" w:color="auto" w:fill="FFFFFF" w:themeFill="background1"/>
            <w:vAlign w:val="center"/>
          </w:tcPr>
          <w:p w14:paraId="6ECD1855" w14:textId="77777777" w:rsidR="0087757B" w:rsidRPr="00BF3C5D" w:rsidRDefault="0087757B" w:rsidP="00BF3C5D">
            <w:pPr>
              <w:tabs>
                <w:tab w:val="left" w:pos="3946"/>
              </w:tabs>
              <w:spacing w:after="120" w:line="360" w:lineRule="auto"/>
              <w:jc w:val="center"/>
              <w:rPr>
                <w:rFonts w:ascii="Times New Roman" w:hAnsi="Times New Roman" w:cs="Times New Roman"/>
                <w:b/>
                <w:sz w:val="24"/>
                <w:szCs w:val="24"/>
              </w:rPr>
            </w:pPr>
            <w:proofErr w:type="spellStart"/>
            <w:r w:rsidRPr="00BF3C5D">
              <w:rPr>
                <w:rFonts w:ascii="Times New Roman" w:hAnsi="Times New Roman" w:cs="Times New Roman"/>
                <w:b/>
                <w:sz w:val="24"/>
                <w:szCs w:val="24"/>
              </w:rPr>
              <w:t>Compound</w:t>
            </w:r>
            <w:proofErr w:type="spellEnd"/>
          </w:p>
        </w:tc>
        <w:tc>
          <w:tcPr>
            <w:tcW w:w="2100" w:type="dxa"/>
            <w:shd w:val="clear" w:color="auto" w:fill="FFFFFF" w:themeFill="background1"/>
            <w:vAlign w:val="center"/>
          </w:tcPr>
          <w:p w14:paraId="4D2B5C81" w14:textId="77777777" w:rsidR="0087757B" w:rsidRPr="00BF3C5D" w:rsidRDefault="0087757B" w:rsidP="00BF3C5D">
            <w:pPr>
              <w:tabs>
                <w:tab w:val="left" w:pos="3946"/>
              </w:tabs>
              <w:spacing w:after="120" w:line="360" w:lineRule="auto"/>
              <w:jc w:val="center"/>
              <w:rPr>
                <w:rFonts w:ascii="Times New Roman" w:hAnsi="Times New Roman" w:cs="Times New Roman"/>
                <w:b/>
                <w:sz w:val="24"/>
                <w:szCs w:val="24"/>
                <w:vertAlign w:val="subscript"/>
              </w:rPr>
            </w:pPr>
            <w:r w:rsidRPr="00BF3C5D">
              <w:rPr>
                <w:rFonts w:ascii="Times New Roman" w:hAnsi="Times New Roman" w:cs="Times New Roman"/>
                <w:b/>
                <w:sz w:val="24"/>
                <w:szCs w:val="24"/>
              </w:rPr>
              <w:t>K</w:t>
            </w:r>
            <w:r w:rsidRPr="00BF3C5D">
              <w:rPr>
                <w:rFonts w:ascii="Times New Roman" w:hAnsi="Times New Roman" w:cs="Times New Roman"/>
                <w:b/>
                <w:sz w:val="24"/>
                <w:szCs w:val="24"/>
                <w:vertAlign w:val="subscript"/>
              </w:rPr>
              <w:t xml:space="preserve">i </w:t>
            </w:r>
            <w:r w:rsidRPr="00BF3C5D">
              <w:rPr>
                <w:rFonts w:ascii="Times New Roman" w:hAnsi="Times New Roman" w:cs="Times New Roman"/>
                <w:b/>
                <w:sz w:val="24"/>
                <w:szCs w:val="24"/>
              </w:rPr>
              <w:t>CB</w:t>
            </w:r>
            <w:r w:rsidRPr="00BF3C5D">
              <w:rPr>
                <w:rFonts w:ascii="Times New Roman" w:hAnsi="Times New Roman" w:cs="Times New Roman"/>
                <w:b/>
                <w:sz w:val="24"/>
                <w:szCs w:val="24"/>
                <w:vertAlign w:val="subscript"/>
              </w:rPr>
              <w:t xml:space="preserve">1 </w:t>
            </w:r>
            <w:r w:rsidRPr="00BF3C5D">
              <w:rPr>
                <w:rFonts w:ascii="Times New Roman" w:hAnsi="Times New Roman" w:cs="Times New Roman"/>
                <w:b/>
                <w:sz w:val="24"/>
                <w:szCs w:val="24"/>
              </w:rPr>
              <w:t>(</w:t>
            </w:r>
            <w:r w:rsidRPr="008D1177">
              <w:rPr>
                <w:rFonts w:ascii="Times New Roman" w:hAnsi="Times New Roman" w:cs="Times New Roman"/>
                <w:b/>
                <w:i/>
                <w:iCs/>
                <w:sz w:val="24"/>
                <w:szCs w:val="24"/>
              </w:rPr>
              <w:t>nM</w:t>
            </w:r>
            <w:r w:rsidRPr="00BF3C5D">
              <w:rPr>
                <w:rFonts w:ascii="Times New Roman" w:hAnsi="Times New Roman" w:cs="Times New Roman"/>
                <w:b/>
                <w:sz w:val="24"/>
                <w:szCs w:val="24"/>
              </w:rPr>
              <w:t>)</w:t>
            </w:r>
          </w:p>
        </w:tc>
        <w:tc>
          <w:tcPr>
            <w:tcW w:w="2064" w:type="dxa"/>
            <w:shd w:val="clear" w:color="auto" w:fill="FFFFFF" w:themeFill="background1"/>
            <w:vAlign w:val="center"/>
          </w:tcPr>
          <w:p w14:paraId="1388A2CC" w14:textId="77777777" w:rsidR="0087757B" w:rsidRPr="00BF3C5D" w:rsidRDefault="0087757B" w:rsidP="00BF3C5D">
            <w:pPr>
              <w:tabs>
                <w:tab w:val="left" w:pos="3946"/>
              </w:tabs>
              <w:spacing w:after="120" w:line="360" w:lineRule="auto"/>
              <w:jc w:val="center"/>
              <w:rPr>
                <w:rFonts w:ascii="Times New Roman" w:hAnsi="Times New Roman" w:cs="Times New Roman"/>
                <w:b/>
                <w:sz w:val="24"/>
                <w:szCs w:val="24"/>
                <w:vertAlign w:val="subscript"/>
              </w:rPr>
            </w:pPr>
            <w:r w:rsidRPr="00BF3C5D">
              <w:rPr>
                <w:rFonts w:ascii="Times New Roman" w:hAnsi="Times New Roman" w:cs="Times New Roman"/>
                <w:b/>
                <w:sz w:val="24"/>
                <w:szCs w:val="24"/>
              </w:rPr>
              <w:t>K</w:t>
            </w:r>
            <w:r w:rsidRPr="00BF3C5D">
              <w:rPr>
                <w:rFonts w:ascii="Times New Roman" w:hAnsi="Times New Roman" w:cs="Times New Roman"/>
                <w:b/>
                <w:sz w:val="24"/>
                <w:szCs w:val="24"/>
                <w:vertAlign w:val="subscript"/>
              </w:rPr>
              <w:t xml:space="preserve">i </w:t>
            </w:r>
            <w:r w:rsidRPr="00BF3C5D">
              <w:rPr>
                <w:rFonts w:ascii="Times New Roman" w:hAnsi="Times New Roman" w:cs="Times New Roman"/>
                <w:b/>
                <w:sz w:val="24"/>
                <w:szCs w:val="24"/>
              </w:rPr>
              <w:t>CB</w:t>
            </w:r>
            <w:r w:rsidRPr="00BF3C5D">
              <w:rPr>
                <w:rFonts w:ascii="Times New Roman" w:hAnsi="Times New Roman" w:cs="Times New Roman"/>
                <w:b/>
                <w:sz w:val="24"/>
                <w:szCs w:val="24"/>
                <w:vertAlign w:val="subscript"/>
              </w:rPr>
              <w:t xml:space="preserve">2 </w:t>
            </w:r>
            <w:r w:rsidRPr="00BF3C5D">
              <w:rPr>
                <w:rFonts w:ascii="Times New Roman" w:hAnsi="Times New Roman" w:cs="Times New Roman"/>
                <w:b/>
                <w:sz w:val="24"/>
                <w:szCs w:val="24"/>
              </w:rPr>
              <w:t>(</w:t>
            </w:r>
            <w:r w:rsidRPr="008D1177">
              <w:rPr>
                <w:rFonts w:ascii="Times New Roman" w:hAnsi="Times New Roman" w:cs="Times New Roman"/>
                <w:b/>
                <w:i/>
                <w:iCs/>
                <w:sz w:val="24"/>
                <w:szCs w:val="24"/>
              </w:rPr>
              <w:t>nM</w:t>
            </w:r>
            <w:r w:rsidRPr="00BF3C5D">
              <w:rPr>
                <w:rFonts w:ascii="Times New Roman" w:hAnsi="Times New Roman" w:cs="Times New Roman"/>
                <w:b/>
                <w:sz w:val="24"/>
                <w:szCs w:val="24"/>
              </w:rPr>
              <w:t>)</w:t>
            </w:r>
          </w:p>
        </w:tc>
        <w:tc>
          <w:tcPr>
            <w:tcW w:w="2160" w:type="dxa"/>
            <w:shd w:val="clear" w:color="auto" w:fill="FFFFFF" w:themeFill="background1"/>
            <w:vAlign w:val="center"/>
          </w:tcPr>
          <w:p w14:paraId="7BDA2F18" w14:textId="77777777" w:rsidR="0087757B" w:rsidRPr="00BF3C5D" w:rsidRDefault="0087757B" w:rsidP="00BF3C5D">
            <w:pPr>
              <w:tabs>
                <w:tab w:val="left" w:pos="3946"/>
              </w:tabs>
              <w:spacing w:after="120" w:line="360" w:lineRule="auto"/>
              <w:jc w:val="center"/>
              <w:rPr>
                <w:rFonts w:ascii="Times New Roman" w:hAnsi="Times New Roman" w:cs="Times New Roman"/>
                <w:b/>
                <w:sz w:val="24"/>
                <w:szCs w:val="24"/>
              </w:rPr>
            </w:pPr>
            <w:r w:rsidRPr="00BF3C5D">
              <w:rPr>
                <w:rFonts w:ascii="Times New Roman" w:hAnsi="Times New Roman" w:cs="Times New Roman"/>
                <w:b/>
                <w:sz w:val="24"/>
                <w:szCs w:val="24"/>
              </w:rPr>
              <w:t>CB</w:t>
            </w:r>
            <w:r w:rsidRPr="00BF3C5D">
              <w:rPr>
                <w:rFonts w:ascii="Times New Roman" w:hAnsi="Times New Roman" w:cs="Times New Roman"/>
                <w:b/>
                <w:sz w:val="24"/>
                <w:szCs w:val="24"/>
                <w:vertAlign w:val="subscript"/>
              </w:rPr>
              <w:t>1</w:t>
            </w:r>
            <w:r w:rsidRPr="00BF3C5D">
              <w:rPr>
                <w:rFonts w:ascii="Times New Roman" w:hAnsi="Times New Roman" w:cs="Times New Roman"/>
                <w:b/>
                <w:sz w:val="24"/>
                <w:szCs w:val="24"/>
              </w:rPr>
              <w:t>/CB</w:t>
            </w:r>
            <w:r w:rsidRPr="00BF3C5D">
              <w:rPr>
                <w:rFonts w:ascii="Times New Roman" w:hAnsi="Times New Roman" w:cs="Times New Roman"/>
                <w:b/>
                <w:sz w:val="24"/>
                <w:szCs w:val="24"/>
                <w:vertAlign w:val="subscript"/>
              </w:rPr>
              <w:t xml:space="preserve">2 </w:t>
            </w:r>
            <w:r w:rsidRPr="00BF3C5D">
              <w:rPr>
                <w:rFonts w:ascii="Times New Roman" w:hAnsi="Times New Roman" w:cs="Times New Roman"/>
                <w:b/>
                <w:sz w:val="24"/>
                <w:szCs w:val="24"/>
              </w:rPr>
              <w:t>ratio</w:t>
            </w:r>
          </w:p>
        </w:tc>
      </w:tr>
      <w:tr w:rsidR="0087757B" w:rsidRPr="00BF3C5D" w14:paraId="7E6C856F" w14:textId="77777777" w:rsidTr="00C25609">
        <w:trPr>
          <w:trHeight w:val="276"/>
        </w:trPr>
        <w:tc>
          <w:tcPr>
            <w:tcW w:w="2150" w:type="dxa"/>
            <w:shd w:val="clear" w:color="auto" w:fill="F2F2F2" w:themeFill="background1" w:themeFillShade="F2"/>
            <w:vAlign w:val="center"/>
          </w:tcPr>
          <w:p w14:paraId="4742B717" w14:textId="77777777" w:rsidR="0087757B" w:rsidRPr="00BF3C5D" w:rsidRDefault="0087757B" w:rsidP="00BF3C5D">
            <w:pPr>
              <w:tabs>
                <w:tab w:val="left" w:pos="3946"/>
              </w:tabs>
              <w:spacing w:after="120" w:line="360" w:lineRule="auto"/>
              <w:jc w:val="center"/>
              <w:rPr>
                <w:rFonts w:ascii="Times New Roman" w:hAnsi="Times New Roman" w:cs="Times New Roman"/>
                <w:b/>
                <w:sz w:val="24"/>
                <w:szCs w:val="24"/>
              </w:rPr>
            </w:pPr>
            <w:r w:rsidRPr="00BF3C5D">
              <w:rPr>
                <w:rFonts w:ascii="Times New Roman" w:hAnsi="Times New Roman" w:cs="Times New Roman"/>
                <w:b/>
                <w:sz w:val="24"/>
                <w:szCs w:val="24"/>
              </w:rPr>
              <w:t>SR144528</w:t>
            </w:r>
          </w:p>
        </w:tc>
        <w:tc>
          <w:tcPr>
            <w:tcW w:w="2100" w:type="dxa"/>
            <w:shd w:val="clear" w:color="auto" w:fill="F2F2F2" w:themeFill="background1" w:themeFillShade="F2"/>
            <w:vAlign w:val="center"/>
          </w:tcPr>
          <w:p w14:paraId="6576C372" w14:textId="77777777" w:rsidR="0087757B" w:rsidRPr="00BF3C5D" w:rsidRDefault="0087757B" w:rsidP="00BF3C5D">
            <w:pPr>
              <w:tabs>
                <w:tab w:val="left" w:pos="3946"/>
              </w:tabs>
              <w:spacing w:after="120" w:line="360" w:lineRule="auto"/>
              <w:jc w:val="center"/>
              <w:rPr>
                <w:rFonts w:ascii="Times New Roman" w:hAnsi="Times New Roman" w:cs="Times New Roman"/>
                <w:sz w:val="24"/>
                <w:szCs w:val="24"/>
              </w:rPr>
            </w:pPr>
            <w:r w:rsidRPr="00BF3C5D">
              <w:rPr>
                <w:rFonts w:ascii="Times New Roman" w:hAnsi="Times New Roman" w:cs="Times New Roman"/>
                <w:sz w:val="24"/>
                <w:szCs w:val="24"/>
              </w:rPr>
              <w:t>84.72 ± 21.26</w:t>
            </w:r>
          </w:p>
        </w:tc>
        <w:tc>
          <w:tcPr>
            <w:tcW w:w="2064" w:type="dxa"/>
            <w:shd w:val="clear" w:color="auto" w:fill="F2F2F2" w:themeFill="background1" w:themeFillShade="F2"/>
            <w:vAlign w:val="center"/>
          </w:tcPr>
          <w:p w14:paraId="1834E14E" w14:textId="77777777" w:rsidR="0087757B" w:rsidRPr="00BF3C5D" w:rsidRDefault="0087757B" w:rsidP="00BF3C5D">
            <w:pPr>
              <w:tabs>
                <w:tab w:val="left" w:pos="3946"/>
              </w:tabs>
              <w:spacing w:after="120" w:line="360" w:lineRule="auto"/>
              <w:jc w:val="center"/>
              <w:rPr>
                <w:rFonts w:ascii="Times New Roman" w:hAnsi="Times New Roman" w:cs="Times New Roman"/>
                <w:sz w:val="24"/>
                <w:szCs w:val="24"/>
              </w:rPr>
            </w:pPr>
            <w:r w:rsidRPr="00BF3C5D">
              <w:rPr>
                <w:rFonts w:ascii="Times New Roman" w:hAnsi="Times New Roman" w:cs="Times New Roman"/>
                <w:sz w:val="24"/>
                <w:szCs w:val="24"/>
              </w:rPr>
              <w:t>2.34 ± 0.61</w:t>
            </w:r>
          </w:p>
        </w:tc>
        <w:tc>
          <w:tcPr>
            <w:tcW w:w="2160" w:type="dxa"/>
            <w:shd w:val="clear" w:color="auto" w:fill="F2F2F2" w:themeFill="background1" w:themeFillShade="F2"/>
            <w:vAlign w:val="center"/>
          </w:tcPr>
          <w:p w14:paraId="3FB42E99" w14:textId="77777777" w:rsidR="0087757B" w:rsidRPr="00BF3C5D" w:rsidRDefault="0087757B" w:rsidP="00BF3C5D">
            <w:pPr>
              <w:tabs>
                <w:tab w:val="left" w:pos="3946"/>
              </w:tabs>
              <w:spacing w:after="120" w:line="360" w:lineRule="auto"/>
              <w:jc w:val="center"/>
              <w:rPr>
                <w:rFonts w:ascii="Times New Roman" w:hAnsi="Times New Roman" w:cs="Times New Roman"/>
                <w:sz w:val="24"/>
                <w:szCs w:val="24"/>
              </w:rPr>
            </w:pPr>
            <w:r w:rsidRPr="00BF3C5D">
              <w:rPr>
                <w:rFonts w:ascii="Times New Roman" w:hAnsi="Times New Roman" w:cs="Times New Roman"/>
                <w:sz w:val="24"/>
                <w:szCs w:val="24"/>
              </w:rPr>
              <w:t>36.2</w:t>
            </w:r>
          </w:p>
        </w:tc>
      </w:tr>
    </w:tbl>
    <w:p w14:paraId="345D963E" w14:textId="77777777" w:rsidR="0087757B" w:rsidRPr="00BF3C5D" w:rsidRDefault="0087757B" w:rsidP="00BF3C5D">
      <w:pPr>
        <w:spacing w:after="120" w:line="360" w:lineRule="auto"/>
        <w:jc w:val="both"/>
        <w:rPr>
          <w:rFonts w:ascii="Times New Roman" w:hAnsi="Times New Roman" w:cs="Times New Roman"/>
          <w:b/>
          <w:color w:val="FF0000"/>
          <w:sz w:val="24"/>
          <w:szCs w:val="24"/>
        </w:rPr>
      </w:pPr>
    </w:p>
    <w:p w14:paraId="5BBC2FB0" w14:textId="7957715C" w:rsidR="0087757B" w:rsidRPr="00C52E77" w:rsidRDefault="0087757B" w:rsidP="00BF3C5D">
      <w:pPr>
        <w:spacing w:after="120" w:line="360" w:lineRule="auto"/>
        <w:jc w:val="both"/>
        <w:rPr>
          <w:rFonts w:ascii="Times New Roman" w:hAnsi="Times New Roman" w:cs="Times New Roman"/>
          <w:sz w:val="24"/>
          <w:szCs w:val="24"/>
          <w:lang w:val="en-US"/>
        </w:rPr>
      </w:pPr>
      <w:r w:rsidRPr="00BF3C5D">
        <w:rPr>
          <w:rFonts w:ascii="Times New Roman" w:hAnsi="Times New Roman" w:cs="Times New Roman"/>
          <w:b/>
          <w:sz w:val="24"/>
          <w:szCs w:val="24"/>
          <w:lang w:val="en-US"/>
        </w:rPr>
        <w:t xml:space="preserve">Table 1: </w:t>
      </w:r>
      <w:r w:rsidRPr="00BF3C5D">
        <w:rPr>
          <w:rFonts w:ascii="Times New Roman" w:hAnsi="Times New Roman" w:cs="Times New Roman"/>
          <w:bCs/>
          <w:sz w:val="24"/>
          <w:szCs w:val="24"/>
          <w:lang w:val="en-US"/>
        </w:rPr>
        <w:t>Binding affinity of SR144528 to CB</w:t>
      </w:r>
      <w:r w:rsidRPr="00BF3C5D">
        <w:rPr>
          <w:rFonts w:ascii="Times New Roman" w:hAnsi="Times New Roman" w:cs="Times New Roman"/>
          <w:bCs/>
          <w:sz w:val="24"/>
          <w:szCs w:val="24"/>
          <w:vertAlign w:val="subscript"/>
          <w:lang w:val="en-US"/>
        </w:rPr>
        <w:t>1</w:t>
      </w:r>
      <w:r w:rsidRPr="00BF3C5D">
        <w:rPr>
          <w:rFonts w:ascii="Times New Roman" w:hAnsi="Times New Roman" w:cs="Times New Roman"/>
          <w:bCs/>
          <w:sz w:val="24"/>
          <w:szCs w:val="24"/>
          <w:lang w:val="en-US"/>
        </w:rPr>
        <w:t xml:space="preserve"> and CB</w:t>
      </w:r>
      <w:r w:rsidRPr="00BF3C5D">
        <w:rPr>
          <w:rFonts w:ascii="Times New Roman" w:hAnsi="Times New Roman" w:cs="Times New Roman"/>
          <w:bCs/>
          <w:sz w:val="24"/>
          <w:szCs w:val="24"/>
          <w:vertAlign w:val="subscript"/>
          <w:lang w:val="en-US"/>
        </w:rPr>
        <w:t>2</w:t>
      </w:r>
      <w:r w:rsidRPr="00BF3C5D">
        <w:rPr>
          <w:rFonts w:ascii="Times New Roman" w:hAnsi="Times New Roman" w:cs="Times New Roman"/>
          <w:bCs/>
          <w:sz w:val="24"/>
          <w:szCs w:val="24"/>
          <w:lang w:val="en-US"/>
        </w:rPr>
        <w:t xml:space="preserve"> receptors.</w:t>
      </w:r>
      <w:r w:rsidRPr="00BF3C5D">
        <w:rPr>
          <w:rFonts w:ascii="Times New Roman" w:hAnsi="Times New Roman" w:cs="Times New Roman"/>
          <w:sz w:val="24"/>
          <w:szCs w:val="24"/>
          <w:lang w:val="en-US"/>
        </w:rPr>
        <w:t xml:space="preserve"> Values were obtained from competition studies using [</w:t>
      </w:r>
      <w:r w:rsidRPr="00BF3C5D">
        <w:rPr>
          <w:rFonts w:ascii="Times New Roman" w:hAnsi="Times New Roman" w:cs="Times New Roman"/>
          <w:sz w:val="24"/>
          <w:szCs w:val="24"/>
          <w:vertAlign w:val="superscript"/>
          <w:lang w:val="en-US"/>
        </w:rPr>
        <w:t>3</w:t>
      </w:r>
      <w:r w:rsidRPr="00BF3C5D">
        <w:rPr>
          <w:rFonts w:ascii="Times New Roman" w:hAnsi="Times New Roman" w:cs="Times New Roman"/>
          <w:sz w:val="24"/>
          <w:szCs w:val="24"/>
          <w:lang w:val="en-US"/>
        </w:rPr>
        <w:t>H]-CP 55,940 as radioligand for CB</w:t>
      </w:r>
      <w:r w:rsidRPr="00BF3C5D">
        <w:rPr>
          <w:rFonts w:ascii="Times New Roman" w:hAnsi="Times New Roman" w:cs="Times New Roman"/>
          <w:sz w:val="24"/>
          <w:szCs w:val="24"/>
          <w:vertAlign w:val="subscript"/>
          <w:lang w:val="en-US"/>
        </w:rPr>
        <w:t>1</w:t>
      </w:r>
      <w:r w:rsidRPr="00BF3C5D">
        <w:rPr>
          <w:rFonts w:ascii="Times New Roman" w:hAnsi="Times New Roman" w:cs="Times New Roman"/>
          <w:sz w:val="24"/>
          <w:szCs w:val="24"/>
          <w:lang w:val="en-US"/>
        </w:rPr>
        <w:t xml:space="preserve"> and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receptors. They are expressed as the mean ± SEM of 3 different experiments each performed in triplicates. CB</w:t>
      </w:r>
      <w:r w:rsidRPr="00BF3C5D">
        <w:rPr>
          <w:rFonts w:ascii="Times New Roman" w:hAnsi="Times New Roman" w:cs="Times New Roman"/>
          <w:sz w:val="24"/>
          <w:szCs w:val="24"/>
          <w:vertAlign w:val="subscript"/>
          <w:lang w:val="en-US"/>
        </w:rPr>
        <w:t xml:space="preserve">2 </w:t>
      </w:r>
      <w:r w:rsidRPr="00BF3C5D">
        <w:rPr>
          <w:rFonts w:ascii="Times New Roman" w:hAnsi="Times New Roman" w:cs="Times New Roman"/>
          <w:sz w:val="24"/>
          <w:szCs w:val="24"/>
          <w:lang w:val="en-US"/>
        </w:rPr>
        <w:t>selectivity values are expressed as the ratio: K</w:t>
      </w:r>
      <w:r w:rsidRPr="00BF3C5D">
        <w:rPr>
          <w:rFonts w:ascii="Times New Roman" w:hAnsi="Times New Roman" w:cs="Times New Roman"/>
          <w:sz w:val="24"/>
          <w:szCs w:val="24"/>
          <w:vertAlign w:val="subscript"/>
          <w:lang w:val="en-US"/>
        </w:rPr>
        <w:t>i</w:t>
      </w:r>
      <w:r w:rsidRPr="00BF3C5D">
        <w:rPr>
          <w:rFonts w:ascii="Times New Roman" w:hAnsi="Times New Roman" w:cs="Times New Roman"/>
          <w:sz w:val="24"/>
          <w:szCs w:val="24"/>
          <w:lang w:val="en-US"/>
        </w:rPr>
        <w:t>CB</w:t>
      </w:r>
      <w:r w:rsidRPr="00BF3C5D">
        <w:rPr>
          <w:rFonts w:ascii="Times New Roman" w:hAnsi="Times New Roman" w:cs="Times New Roman"/>
          <w:sz w:val="24"/>
          <w:szCs w:val="24"/>
          <w:vertAlign w:val="subscript"/>
          <w:lang w:val="en-US"/>
        </w:rPr>
        <w:t xml:space="preserve">1 </w:t>
      </w:r>
      <w:r w:rsidRPr="00BF3C5D">
        <w:rPr>
          <w:rFonts w:ascii="Times New Roman" w:hAnsi="Times New Roman" w:cs="Times New Roman"/>
          <w:sz w:val="24"/>
          <w:szCs w:val="24"/>
          <w:lang w:val="en-US"/>
        </w:rPr>
        <w:t>/ K</w:t>
      </w:r>
      <w:r w:rsidRPr="00BF3C5D">
        <w:rPr>
          <w:rFonts w:ascii="Times New Roman" w:hAnsi="Times New Roman" w:cs="Times New Roman"/>
          <w:sz w:val="24"/>
          <w:szCs w:val="24"/>
          <w:vertAlign w:val="subscript"/>
          <w:lang w:val="en-US"/>
        </w:rPr>
        <w:t>i</w:t>
      </w:r>
      <w:r w:rsidRPr="00BF3C5D">
        <w:rPr>
          <w:rFonts w:ascii="Times New Roman" w:hAnsi="Times New Roman" w:cs="Times New Roman"/>
          <w:sz w:val="24"/>
          <w:szCs w:val="24"/>
          <w:lang w:val="en-US"/>
        </w:rPr>
        <w:t>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w:t>
      </w:r>
    </w:p>
    <w:p w14:paraId="5D7E54F1" w14:textId="77777777" w:rsidR="0087757B" w:rsidRPr="00BF3C5D" w:rsidRDefault="0087757B" w:rsidP="00C52E77">
      <w:pPr>
        <w:pStyle w:val="Heading2"/>
        <w:rPr>
          <w:lang w:val="en-US"/>
        </w:rPr>
      </w:pPr>
      <w:r w:rsidRPr="00BF3C5D">
        <w:rPr>
          <w:lang w:val="en-US"/>
        </w:rPr>
        <w:t>Determination of the functional activity of SR144528 at the CB</w:t>
      </w:r>
      <w:r w:rsidRPr="00BF3C5D">
        <w:rPr>
          <w:vertAlign w:val="subscript"/>
          <w:lang w:val="en-US"/>
        </w:rPr>
        <w:t>2</w:t>
      </w:r>
      <w:r w:rsidRPr="00BF3C5D">
        <w:rPr>
          <w:lang w:val="en-US"/>
        </w:rPr>
        <w:t xml:space="preserve"> receptor</w:t>
      </w:r>
    </w:p>
    <w:p w14:paraId="528D91DE" w14:textId="37863BDC" w:rsidR="0087757B" w:rsidRPr="00BF3C5D" w:rsidRDefault="0087757B" w:rsidP="00C52E77">
      <w:pPr>
        <w:spacing w:after="120" w:line="360" w:lineRule="auto"/>
        <w:jc w:val="both"/>
        <w:rPr>
          <w:rFonts w:ascii="Times New Roman" w:eastAsiaTheme="minorHAnsi" w:hAnsi="Times New Roman" w:cs="Times New Roman"/>
          <w:sz w:val="24"/>
          <w:szCs w:val="24"/>
          <w:lang w:val="en-US"/>
        </w:rPr>
      </w:pPr>
      <w:r w:rsidRPr="00BF3C5D">
        <w:rPr>
          <w:rFonts w:ascii="Times New Roman" w:hAnsi="Times New Roman" w:cs="Times New Roman"/>
          <w:sz w:val="24"/>
          <w:szCs w:val="24"/>
          <w:lang w:val="en-US"/>
        </w:rPr>
        <w:t xml:space="preserve">Subsequently, we </w:t>
      </w:r>
      <w:r w:rsidRPr="00984C6E">
        <w:rPr>
          <w:rFonts w:ascii="Times New Roman" w:hAnsi="Times New Roman" w:cs="Times New Roman"/>
          <w:sz w:val="24"/>
          <w:szCs w:val="24"/>
          <w:lang w:val="en-US"/>
        </w:rPr>
        <w:t xml:space="preserve">investigated the efficacy </w:t>
      </w:r>
      <w:r w:rsidR="009A11C5" w:rsidRPr="00984C6E">
        <w:rPr>
          <w:rFonts w:ascii="Times New Roman" w:hAnsi="Times New Roman" w:cs="Times New Roman"/>
          <w:sz w:val="24"/>
          <w:szCs w:val="24"/>
          <w:lang w:val="en-US"/>
        </w:rPr>
        <w:t>(</w:t>
      </w:r>
      <w:r w:rsidRPr="00984C6E">
        <w:rPr>
          <w:rFonts w:ascii="Times New Roman" w:hAnsi="Times New Roman" w:cs="Times New Roman"/>
          <w:sz w:val="24"/>
          <w:szCs w:val="24"/>
          <w:lang w:val="en-US"/>
        </w:rPr>
        <w:t>agonism</w:t>
      </w:r>
      <w:r w:rsidRPr="00BF3C5D">
        <w:rPr>
          <w:rFonts w:ascii="Times New Roman" w:hAnsi="Times New Roman" w:cs="Times New Roman"/>
          <w:sz w:val="24"/>
          <w:szCs w:val="24"/>
          <w:lang w:val="en-US"/>
        </w:rPr>
        <w:t xml:space="preserve"> </w:t>
      </w:r>
      <w:r w:rsidRPr="00BF3C5D">
        <w:rPr>
          <w:rFonts w:ascii="Times New Roman" w:hAnsi="Times New Roman" w:cs="Times New Roman"/>
          <w:i/>
          <w:sz w:val="24"/>
          <w:szCs w:val="24"/>
          <w:lang w:val="en-US"/>
        </w:rPr>
        <w:t>versus</w:t>
      </w:r>
      <w:r w:rsidRPr="00BF3C5D">
        <w:rPr>
          <w:rFonts w:ascii="Times New Roman" w:hAnsi="Times New Roman" w:cs="Times New Roman"/>
          <w:sz w:val="24"/>
          <w:szCs w:val="24"/>
          <w:lang w:val="en-US"/>
        </w:rPr>
        <w:t xml:space="preserve"> antagonism and/or inverse agonism</w:t>
      </w:r>
      <w:r w:rsidR="009A11C5" w:rsidRPr="00BF3C5D">
        <w:rPr>
          <w:rFonts w:ascii="Times New Roman" w:hAnsi="Times New Roman" w:cs="Times New Roman"/>
          <w:sz w:val="24"/>
          <w:szCs w:val="24"/>
          <w:lang w:val="en-US"/>
        </w:rPr>
        <w:t>)</w:t>
      </w:r>
      <w:r w:rsidRPr="00BF3C5D">
        <w:rPr>
          <w:rFonts w:ascii="Times New Roman" w:hAnsi="Times New Roman" w:cs="Times New Roman"/>
          <w:sz w:val="24"/>
          <w:szCs w:val="24"/>
          <w:lang w:val="en-US"/>
        </w:rPr>
        <w:t xml:space="preserve"> of SR144528 at the CB</w:t>
      </w:r>
      <w:r w:rsidRPr="00BF3C5D">
        <w:rPr>
          <w:rFonts w:ascii="Times New Roman" w:hAnsi="Times New Roman" w:cs="Times New Roman"/>
          <w:sz w:val="24"/>
          <w:szCs w:val="24"/>
          <w:vertAlign w:val="subscript"/>
          <w:lang w:val="en-US"/>
        </w:rPr>
        <w:t xml:space="preserve">2 </w:t>
      </w:r>
      <w:r w:rsidRPr="00BF3C5D">
        <w:rPr>
          <w:rFonts w:ascii="Times New Roman" w:hAnsi="Times New Roman" w:cs="Times New Roman"/>
          <w:sz w:val="24"/>
          <w:szCs w:val="24"/>
          <w:lang w:val="en-US"/>
        </w:rPr>
        <w:t>receptor by conducting [</w:t>
      </w:r>
      <w:r w:rsidRPr="00BF3C5D">
        <w:rPr>
          <w:rFonts w:ascii="Times New Roman" w:hAnsi="Times New Roman" w:cs="Times New Roman"/>
          <w:sz w:val="24"/>
          <w:szCs w:val="24"/>
          <w:vertAlign w:val="superscript"/>
          <w:lang w:val="en-US"/>
        </w:rPr>
        <w:t>35</w:t>
      </w:r>
      <w:r w:rsidRPr="00BF3C5D">
        <w:rPr>
          <w:rFonts w:ascii="Times New Roman" w:hAnsi="Times New Roman" w:cs="Times New Roman"/>
          <w:sz w:val="24"/>
          <w:szCs w:val="24"/>
          <w:lang w:val="en-US"/>
        </w:rPr>
        <w:t>S]-GTP</w:t>
      </w:r>
      <w:r w:rsidRPr="00BF3C5D">
        <w:rPr>
          <w:rFonts w:ascii="Times New Roman" w:eastAsiaTheme="minorHAnsi" w:hAnsi="Times New Roman" w:cs="Times New Roman"/>
          <w:sz w:val="24"/>
          <w:szCs w:val="24"/>
          <w:lang w:eastAsia="en-US" w:bidi="ar-SA"/>
        </w:rPr>
        <w:t>γ</w:t>
      </w:r>
      <w:r w:rsidRPr="00BF3C5D">
        <w:rPr>
          <w:rFonts w:ascii="Times New Roman" w:eastAsiaTheme="minorHAnsi" w:hAnsi="Times New Roman" w:cs="Times New Roman"/>
          <w:sz w:val="24"/>
          <w:szCs w:val="24"/>
          <w:lang w:val="en-US" w:eastAsia="en-US"/>
        </w:rPr>
        <w:t>S binding assays. As expected, SR144528 behaved as inverse agonist of the CB</w:t>
      </w:r>
      <w:r w:rsidRPr="00BF3C5D">
        <w:rPr>
          <w:rFonts w:ascii="Times New Roman" w:eastAsiaTheme="minorHAnsi" w:hAnsi="Times New Roman" w:cs="Times New Roman"/>
          <w:sz w:val="24"/>
          <w:szCs w:val="24"/>
          <w:vertAlign w:val="subscript"/>
          <w:lang w:val="en-US" w:eastAsia="en-US"/>
        </w:rPr>
        <w:t>2</w:t>
      </w:r>
      <w:r w:rsidRPr="00BF3C5D">
        <w:rPr>
          <w:rFonts w:ascii="Times New Roman" w:eastAsiaTheme="minorHAnsi" w:hAnsi="Times New Roman" w:cs="Times New Roman"/>
          <w:sz w:val="24"/>
          <w:szCs w:val="24"/>
          <w:lang w:val="en-US" w:eastAsia="en-US"/>
        </w:rPr>
        <w:t xml:space="preserve"> receptor (Fig. 1A) with significant values of IC</w:t>
      </w:r>
      <w:r w:rsidRPr="00BF3C5D">
        <w:rPr>
          <w:rFonts w:ascii="Times New Roman" w:eastAsiaTheme="minorHAnsi" w:hAnsi="Times New Roman" w:cs="Times New Roman"/>
          <w:sz w:val="24"/>
          <w:szCs w:val="24"/>
          <w:vertAlign w:val="subscript"/>
          <w:lang w:val="en-US" w:eastAsia="en-US"/>
        </w:rPr>
        <w:t>50</w:t>
      </w:r>
      <w:r w:rsidRPr="00BF3C5D">
        <w:rPr>
          <w:rFonts w:ascii="Times New Roman" w:eastAsiaTheme="minorHAnsi" w:hAnsi="Times New Roman" w:cs="Times New Roman"/>
          <w:sz w:val="24"/>
          <w:szCs w:val="24"/>
          <w:lang w:val="en-US" w:eastAsia="en-US"/>
        </w:rPr>
        <w:t xml:space="preserve"> and efficacy (Emax) described in the Table 2. We also conducted supplementary assays to determine the antagonistic capacity of SR144528 in the presence of the CB</w:t>
      </w:r>
      <w:r w:rsidRPr="00BF3C5D">
        <w:rPr>
          <w:rFonts w:ascii="Times New Roman" w:eastAsiaTheme="minorHAnsi" w:hAnsi="Times New Roman" w:cs="Times New Roman"/>
          <w:sz w:val="24"/>
          <w:szCs w:val="24"/>
          <w:vertAlign w:val="subscript"/>
          <w:lang w:val="en-US" w:eastAsia="en-US"/>
        </w:rPr>
        <w:t>1</w:t>
      </w:r>
      <w:r w:rsidRPr="00BF3C5D">
        <w:rPr>
          <w:rFonts w:ascii="Times New Roman" w:eastAsiaTheme="minorHAnsi" w:hAnsi="Times New Roman" w:cs="Times New Roman"/>
          <w:sz w:val="24"/>
          <w:szCs w:val="24"/>
          <w:lang w:val="en-US" w:eastAsia="en-US"/>
        </w:rPr>
        <w:t>/CB</w:t>
      </w:r>
      <w:r w:rsidRPr="00BF3C5D">
        <w:rPr>
          <w:rFonts w:ascii="Times New Roman" w:eastAsiaTheme="minorHAnsi" w:hAnsi="Times New Roman" w:cs="Times New Roman"/>
          <w:sz w:val="24"/>
          <w:szCs w:val="24"/>
          <w:vertAlign w:val="subscript"/>
          <w:lang w:val="en-US" w:eastAsia="en-US"/>
        </w:rPr>
        <w:t>2</w:t>
      </w:r>
      <w:r w:rsidRPr="00BF3C5D">
        <w:rPr>
          <w:rFonts w:ascii="Times New Roman" w:eastAsiaTheme="minorHAnsi" w:hAnsi="Times New Roman" w:cs="Times New Roman"/>
          <w:sz w:val="24"/>
          <w:szCs w:val="24"/>
          <w:lang w:val="en-US" w:eastAsia="en-US"/>
        </w:rPr>
        <w:t xml:space="preserve"> agonist </w:t>
      </w:r>
      <w:r w:rsidRPr="00BF3C5D">
        <w:rPr>
          <w:rFonts w:ascii="Times New Roman" w:eastAsiaTheme="minorHAnsi" w:hAnsi="Times New Roman" w:cs="Times New Roman"/>
          <w:sz w:val="24"/>
          <w:szCs w:val="24"/>
          <w:lang w:val="en-US"/>
        </w:rPr>
        <w:t xml:space="preserve">CP55,940 (30 </w:t>
      </w:r>
      <w:r w:rsidRPr="008D1177">
        <w:rPr>
          <w:rFonts w:ascii="Times New Roman" w:eastAsiaTheme="minorHAnsi" w:hAnsi="Times New Roman" w:cs="Times New Roman"/>
          <w:i/>
          <w:iCs/>
          <w:sz w:val="24"/>
          <w:szCs w:val="24"/>
          <w:lang w:val="en-US"/>
        </w:rPr>
        <w:t>nM</w:t>
      </w:r>
      <w:r w:rsidRPr="00BF3C5D">
        <w:rPr>
          <w:rFonts w:ascii="Times New Roman" w:eastAsiaTheme="minorHAnsi" w:hAnsi="Times New Roman" w:cs="Times New Roman"/>
          <w:sz w:val="24"/>
          <w:szCs w:val="24"/>
          <w:lang w:val="en-US"/>
        </w:rPr>
        <w:t>), which revealed a strong capability for this compound to antagonize the effects of CB</w:t>
      </w:r>
      <w:r w:rsidRPr="00BF3C5D">
        <w:rPr>
          <w:rFonts w:ascii="Times New Roman" w:eastAsiaTheme="minorHAnsi" w:hAnsi="Times New Roman" w:cs="Times New Roman"/>
          <w:sz w:val="24"/>
          <w:szCs w:val="24"/>
          <w:vertAlign w:val="subscript"/>
          <w:lang w:val="en-US"/>
        </w:rPr>
        <w:t>2</w:t>
      </w:r>
      <w:r w:rsidRPr="00BF3C5D">
        <w:rPr>
          <w:rFonts w:ascii="Times New Roman" w:eastAsiaTheme="minorHAnsi" w:hAnsi="Times New Roman" w:cs="Times New Roman"/>
          <w:sz w:val="24"/>
          <w:szCs w:val="24"/>
          <w:lang w:val="en-US"/>
        </w:rPr>
        <w:t xml:space="preserve"> agonists (Fig. 1B).</w:t>
      </w:r>
      <w:bookmarkStart w:id="6" w:name="_Hlk55817115"/>
    </w:p>
    <w:tbl>
      <w:tblPr>
        <w:tblStyle w:val="TableGrid"/>
        <w:tblpPr w:leftFromText="141" w:rightFromText="141" w:vertAnchor="text" w:horzAnchor="margin" w:tblpXSpec="center" w:tblpY="358"/>
        <w:tblW w:w="0" w:type="auto"/>
        <w:tblInd w:w="0"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178"/>
        <w:gridCol w:w="2063"/>
        <w:gridCol w:w="2064"/>
        <w:gridCol w:w="2169"/>
      </w:tblGrid>
      <w:tr w:rsidR="0087757B" w:rsidRPr="00BF3C5D" w14:paraId="4AC30884" w14:textId="77777777" w:rsidTr="00C25609">
        <w:trPr>
          <w:trHeight w:val="481"/>
        </w:trPr>
        <w:tc>
          <w:tcPr>
            <w:tcW w:w="2369" w:type="dxa"/>
            <w:shd w:val="clear" w:color="auto" w:fill="FFFFFF" w:themeFill="background1"/>
            <w:vAlign w:val="center"/>
          </w:tcPr>
          <w:bookmarkEnd w:id="6"/>
          <w:p w14:paraId="1C21D634" w14:textId="77777777" w:rsidR="0087757B" w:rsidRPr="00BF3C5D" w:rsidRDefault="0087757B" w:rsidP="00BF3C5D">
            <w:pPr>
              <w:tabs>
                <w:tab w:val="left" w:pos="3946"/>
              </w:tabs>
              <w:spacing w:after="120" w:line="360" w:lineRule="auto"/>
              <w:jc w:val="center"/>
              <w:rPr>
                <w:rFonts w:ascii="Times New Roman" w:hAnsi="Times New Roman" w:cs="Times New Roman"/>
                <w:b/>
                <w:sz w:val="24"/>
                <w:szCs w:val="24"/>
              </w:rPr>
            </w:pPr>
            <w:proofErr w:type="spellStart"/>
            <w:r w:rsidRPr="00BF3C5D">
              <w:rPr>
                <w:rFonts w:ascii="Times New Roman" w:hAnsi="Times New Roman" w:cs="Times New Roman"/>
                <w:b/>
                <w:sz w:val="24"/>
                <w:szCs w:val="24"/>
              </w:rPr>
              <w:t>Compound</w:t>
            </w:r>
            <w:proofErr w:type="spellEnd"/>
          </w:p>
        </w:tc>
        <w:tc>
          <w:tcPr>
            <w:tcW w:w="2369" w:type="dxa"/>
            <w:shd w:val="clear" w:color="auto" w:fill="FFFFFF" w:themeFill="background1"/>
            <w:vAlign w:val="center"/>
          </w:tcPr>
          <w:p w14:paraId="59235996" w14:textId="77777777" w:rsidR="0087757B" w:rsidRPr="00BF3C5D" w:rsidRDefault="0087757B" w:rsidP="00BF3C5D">
            <w:pPr>
              <w:tabs>
                <w:tab w:val="left" w:pos="3946"/>
              </w:tabs>
              <w:spacing w:after="120" w:line="360" w:lineRule="auto"/>
              <w:jc w:val="center"/>
              <w:rPr>
                <w:rFonts w:ascii="Times New Roman" w:hAnsi="Times New Roman" w:cs="Times New Roman"/>
                <w:b/>
                <w:sz w:val="24"/>
                <w:szCs w:val="24"/>
              </w:rPr>
            </w:pPr>
            <w:r w:rsidRPr="00BF3C5D">
              <w:rPr>
                <w:rFonts w:ascii="Times New Roman" w:hAnsi="Times New Roman" w:cs="Times New Roman"/>
                <w:b/>
                <w:sz w:val="24"/>
                <w:szCs w:val="24"/>
              </w:rPr>
              <w:t>IC</w:t>
            </w:r>
            <w:r w:rsidRPr="00BF3C5D">
              <w:rPr>
                <w:rFonts w:ascii="Times New Roman" w:hAnsi="Times New Roman" w:cs="Times New Roman"/>
                <w:b/>
                <w:sz w:val="24"/>
                <w:szCs w:val="24"/>
                <w:vertAlign w:val="subscript"/>
              </w:rPr>
              <w:t xml:space="preserve">50 </w:t>
            </w:r>
            <w:r w:rsidRPr="00BF3C5D">
              <w:rPr>
                <w:rFonts w:ascii="Times New Roman" w:hAnsi="Times New Roman" w:cs="Times New Roman"/>
                <w:b/>
                <w:sz w:val="24"/>
                <w:szCs w:val="24"/>
              </w:rPr>
              <w:t>(nM)</w:t>
            </w:r>
          </w:p>
        </w:tc>
        <w:tc>
          <w:tcPr>
            <w:tcW w:w="2370" w:type="dxa"/>
            <w:shd w:val="clear" w:color="auto" w:fill="FFFFFF" w:themeFill="background1"/>
            <w:vAlign w:val="center"/>
          </w:tcPr>
          <w:p w14:paraId="3C30C162" w14:textId="77777777" w:rsidR="0087757B" w:rsidRPr="00BF3C5D" w:rsidRDefault="0087757B" w:rsidP="00BF3C5D">
            <w:pPr>
              <w:tabs>
                <w:tab w:val="left" w:pos="3946"/>
              </w:tabs>
              <w:spacing w:after="120" w:line="360" w:lineRule="auto"/>
              <w:jc w:val="center"/>
              <w:rPr>
                <w:rFonts w:ascii="Times New Roman" w:hAnsi="Times New Roman" w:cs="Times New Roman"/>
                <w:b/>
                <w:sz w:val="24"/>
                <w:szCs w:val="24"/>
              </w:rPr>
            </w:pPr>
            <w:r w:rsidRPr="00BF3C5D">
              <w:rPr>
                <w:rFonts w:ascii="Times New Roman" w:hAnsi="Times New Roman" w:cs="Times New Roman"/>
                <w:b/>
                <w:sz w:val="24"/>
                <w:szCs w:val="24"/>
              </w:rPr>
              <w:t>E</w:t>
            </w:r>
            <w:r w:rsidRPr="00BF3C5D">
              <w:rPr>
                <w:rFonts w:ascii="Times New Roman" w:hAnsi="Times New Roman" w:cs="Times New Roman"/>
                <w:b/>
                <w:sz w:val="24"/>
                <w:szCs w:val="24"/>
                <w:vertAlign w:val="subscript"/>
              </w:rPr>
              <w:t xml:space="preserve">max </w:t>
            </w:r>
            <w:r w:rsidRPr="00BF3C5D">
              <w:rPr>
                <w:rFonts w:ascii="Times New Roman" w:hAnsi="Times New Roman" w:cs="Times New Roman"/>
                <w:b/>
                <w:sz w:val="24"/>
                <w:szCs w:val="24"/>
              </w:rPr>
              <w:t>(%)</w:t>
            </w:r>
          </w:p>
        </w:tc>
        <w:tc>
          <w:tcPr>
            <w:tcW w:w="2370" w:type="dxa"/>
            <w:shd w:val="clear" w:color="auto" w:fill="FFFFFF" w:themeFill="background1"/>
            <w:vAlign w:val="center"/>
          </w:tcPr>
          <w:p w14:paraId="3577AA0A" w14:textId="77777777" w:rsidR="0087757B" w:rsidRPr="00BF3C5D" w:rsidRDefault="0087757B" w:rsidP="00BF3C5D">
            <w:pPr>
              <w:tabs>
                <w:tab w:val="left" w:pos="3946"/>
              </w:tabs>
              <w:spacing w:after="120" w:line="360" w:lineRule="auto"/>
              <w:jc w:val="center"/>
              <w:rPr>
                <w:rFonts w:ascii="Times New Roman" w:hAnsi="Times New Roman" w:cs="Times New Roman"/>
                <w:b/>
                <w:sz w:val="24"/>
                <w:szCs w:val="24"/>
              </w:rPr>
            </w:pPr>
            <w:proofErr w:type="spellStart"/>
            <w:r w:rsidRPr="00BF3C5D">
              <w:rPr>
                <w:rFonts w:ascii="Times New Roman" w:hAnsi="Times New Roman" w:cs="Times New Roman"/>
                <w:b/>
                <w:sz w:val="24"/>
                <w:szCs w:val="24"/>
              </w:rPr>
              <w:t>Amplitude</w:t>
            </w:r>
            <w:proofErr w:type="spellEnd"/>
          </w:p>
        </w:tc>
      </w:tr>
      <w:tr w:rsidR="0087757B" w:rsidRPr="00BF3C5D" w14:paraId="345A0091" w14:textId="77777777" w:rsidTr="00C25609">
        <w:trPr>
          <w:trHeight w:val="276"/>
        </w:trPr>
        <w:tc>
          <w:tcPr>
            <w:tcW w:w="2369" w:type="dxa"/>
            <w:shd w:val="clear" w:color="auto" w:fill="FFFFFF" w:themeFill="background1"/>
            <w:vAlign w:val="center"/>
          </w:tcPr>
          <w:p w14:paraId="372A8359" w14:textId="77777777" w:rsidR="0087757B" w:rsidRPr="00BF3C5D" w:rsidRDefault="0087757B" w:rsidP="00BF3C5D">
            <w:pPr>
              <w:tabs>
                <w:tab w:val="left" w:pos="3946"/>
              </w:tabs>
              <w:spacing w:after="120" w:line="360" w:lineRule="auto"/>
              <w:jc w:val="center"/>
              <w:rPr>
                <w:rFonts w:ascii="Times New Roman" w:hAnsi="Times New Roman" w:cs="Times New Roman"/>
                <w:b/>
                <w:sz w:val="24"/>
                <w:szCs w:val="24"/>
              </w:rPr>
            </w:pPr>
            <w:r w:rsidRPr="00BF3C5D">
              <w:rPr>
                <w:rFonts w:ascii="Times New Roman" w:hAnsi="Times New Roman" w:cs="Times New Roman"/>
                <w:b/>
                <w:sz w:val="24"/>
                <w:szCs w:val="24"/>
              </w:rPr>
              <w:t>SR144528</w:t>
            </w:r>
          </w:p>
        </w:tc>
        <w:tc>
          <w:tcPr>
            <w:tcW w:w="2369" w:type="dxa"/>
            <w:shd w:val="clear" w:color="auto" w:fill="FFFFFF" w:themeFill="background1"/>
            <w:vAlign w:val="center"/>
          </w:tcPr>
          <w:p w14:paraId="74FDCD89" w14:textId="77777777" w:rsidR="0087757B" w:rsidRPr="00BF3C5D" w:rsidRDefault="0087757B" w:rsidP="00BF3C5D">
            <w:pPr>
              <w:tabs>
                <w:tab w:val="left" w:pos="3946"/>
              </w:tabs>
              <w:spacing w:after="120" w:line="360" w:lineRule="auto"/>
              <w:jc w:val="center"/>
              <w:rPr>
                <w:rFonts w:ascii="Times New Roman" w:hAnsi="Times New Roman" w:cs="Times New Roman"/>
                <w:sz w:val="24"/>
                <w:szCs w:val="24"/>
              </w:rPr>
            </w:pPr>
            <w:r w:rsidRPr="00BF3C5D">
              <w:rPr>
                <w:rFonts w:ascii="Times New Roman" w:hAnsi="Times New Roman" w:cs="Times New Roman"/>
                <w:sz w:val="24"/>
                <w:szCs w:val="24"/>
              </w:rPr>
              <w:t>96.17 ± 1.41</w:t>
            </w:r>
          </w:p>
        </w:tc>
        <w:tc>
          <w:tcPr>
            <w:tcW w:w="2370" w:type="dxa"/>
            <w:shd w:val="clear" w:color="auto" w:fill="FFFFFF" w:themeFill="background1"/>
            <w:vAlign w:val="center"/>
          </w:tcPr>
          <w:p w14:paraId="47C309AA" w14:textId="77777777" w:rsidR="0087757B" w:rsidRPr="00BF3C5D" w:rsidRDefault="0087757B" w:rsidP="00BF3C5D">
            <w:pPr>
              <w:tabs>
                <w:tab w:val="left" w:pos="3946"/>
              </w:tabs>
              <w:spacing w:after="120" w:line="360" w:lineRule="auto"/>
              <w:jc w:val="center"/>
              <w:rPr>
                <w:rFonts w:ascii="Times New Roman" w:hAnsi="Times New Roman" w:cs="Times New Roman"/>
                <w:sz w:val="24"/>
                <w:szCs w:val="24"/>
              </w:rPr>
            </w:pPr>
            <w:r w:rsidRPr="00BF3C5D">
              <w:rPr>
                <w:rFonts w:ascii="Times New Roman" w:hAnsi="Times New Roman" w:cs="Times New Roman"/>
                <w:sz w:val="24"/>
                <w:szCs w:val="24"/>
              </w:rPr>
              <w:t>-63.23 ± 3.14</w:t>
            </w:r>
          </w:p>
        </w:tc>
        <w:tc>
          <w:tcPr>
            <w:tcW w:w="2370" w:type="dxa"/>
            <w:shd w:val="clear" w:color="auto" w:fill="FFFFFF" w:themeFill="background1"/>
            <w:vAlign w:val="center"/>
          </w:tcPr>
          <w:p w14:paraId="20569334" w14:textId="77777777" w:rsidR="0087757B" w:rsidRPr="00BF3C5D" w:rsidRDefault="0087757B" w:rsidP="00BF3C5D">
            <w:pPr>
              <w:tabs>
                <w:tab w:val="left" w:pos="3946"/>
              </w:tabs>
              <w:spacing w:after="120" w:line="360" w:lineRule="auto"/>
              <w:jc w:val="center"/>
              <w:rPr>
                <w:rFonts w:ascii="Times New Roman" w:hAnsi="Times New Roman" w:cs="Times New Roman"/>
                <w:sz w:val="24"/>
                <w:szCs w:val="24"/>
              </w:rPr>
            </w:pPr>
            <w:r w:rsidRPr="00BF3C5D">
              <w:rPr>
                <w:rFonts w:ascii="Times New Roman" w:hAnsi="Times New Roman" w:cs="Times New Roman"/>
                <w:sz w:val="24"/>
                <w:szCs w:val="24"/>
              </w:rPr>
              <w:t>62.57</w:t>
            </w:r>
          </w:p>
        </w:tc>
      </w:tr>
    </w:tbl>
    <w:p w14:paraId="7BD489DF" w14:textId="77777777" w:rsidR="0087757B" w:rsidRPr="00BF3C5D" w:rsidRDefault="0087757B" w:rsidP="00BF3C5D">
      <w:pPr>
        <w:tabs>
          <w:tab w:val="left" w:pos="3946"/>
        </w:tabs>
        <w:spacing w:after="120" w:line="360" w:lineRule="auto"/>
        <w:jc w:val="both"/>
        <w:rPr>
          <w:rFonts w:ascii="Times New Roman" w:hAnsi="Times New Roman" w:cs="Times New Roman"/>
          <w:b/>
          <w:sz w:val="24"/>
          <w:szCs w:val="24"/>
        </w:rPr>
      </w:pPr>
    </w:p>
    <w:p w14:paraId="23BA2FFE" w14:textId="77777777" w:rsidR="0087757B" w:rsidRPr="00BF3C5D" w:rsidRDefault="0087757B" w:rsidP="00BF3C5D">
      <w:pPr>
        <w:spacing w:after="120" w:line="360" w:lineRule="auto"/>
        <w:jc w:val="both"/>
        <w:rPr>
          <w:rFonts w:ascii="Times New Roman" w:hAnsi="Times New Roman" w:cs="Times New Roman"/>
          <w:b/>
          <w:sz w:val="24"/>
          <w:szCs w:val="24"/>
          <w:lang w:val="en-US"/>
        </w:rPr>
      </w:pPr>
    </w:p>
    <w:p w14:paraId="19D2C563" w14:textId="20BAE3FB" w:rsidR="0087757B" w:rsidRPr="00C52E77" w:rsidRDefault="0087757B" w:rsidP="00BF3C5D">
      <w:pPr>
        <w:spacing w:after="120" w:line="360" w:lineRule="auto"/>
        <w:jc w:val="both"/>
        <w:rPr>
          <w:rFonts w:ascii="Times New Roman" w:hAnsi="Times New Roman" w:cs="Times New Roman"/>
          <w:bCs/>
          <w:sz w:val="24"/>
          <w:szCs w:val="24"/>
          <w:lang w:val="en-US"/>
        </w:rPr>
      </w:pPr>
      <w:r w:rsidRPr="00BF3C5D">
        <w:rPr>
          <w:rFonts w:ascii="Times New Roman" w:hAnsi="Times New Roman" w:cs="Times New Roman"/>
          <w:b/>
          <w:sz w:val="24"/>
          <w:szCs w:val="24"/>
          <w:lang w:val="en-US"/>
        </w:rPr>
        <w:t>Table 2: IC</w:t>
      </w:r>
      <w:r w:rsidRPr="00BF3C5D">
        <w:rPr>
          <w:rFonts w:ascii="Times New Roman" w:hAnsi="Times New Roman" w:cs="Times New Roman"/>
          <w:b/>
          <w:sz w:val="24"/>
          <w:szCs w:val="24"/>
          <w:vertAlign w:val="subscript"/>
          <w:lang w:val="en-US"/>
        </w:rPr>
        <w:t>50</w:t>
      </w:r>
      <w:r w:rsidRPr="00BF3C5D">
        <w:rPr>
          <w:rFonts w:ascii="Times New Roman" w:hAnsi="Times New Roman" w:cs="Times New Roman"/>
          <w:b/>
          <w:sz w:val="24"/>
          <w:szCs w:val="24"/>
          <w:lang w:val="en-US"/>
        </w:rPr>
        <w:t xml:space="preserve"> and E</w:t>
      </w:r>
      <w:r w:rsidRPr="00BF3C5D">
        <w:rPr>
          <w:rFonts w:ascii="Times New Roman" w:hAnsi="Times New Roman" w:cs="Times New Roman"/>
          <w:b/>
          <w:sz w:val="24"/>
          <w:szCs w:val="24"/>
          <w:vertAlign w:val="subscript"/>
          <w:lang w:val="en-US"/>
        </w:rPr>
        <w:t>max</w:t>
      </w:r>
      <w:r w:rsidRPr="00BF3C5D">
        <w:rPr>
          <w:rFonts w:ascii="Times New Roman" w:hAnsi="Times New Roman" w:cs="Times New Roman"/>
          <w:bCs/>
          <w:sz w:val="24"/>
          <w:szCs w:val="24"/>
          <w:vertAlign w:val="subscript"/>
          <w:lang w:val="en-US"/>
        </w:rPr>
        <w:t xml:space="preserve"> </w:t>
      </w:r>
      <w:r w:rsidRPr="00BF3C5D">
        <w:rPr>
          <w:rFonts w:ascii="Times New Roman" w:hAnsi="Times New Roman" w:cs="Times New Roman"/>
          <w:bCs/>
          <w:sz w:val="24"/>
          <w:szCs w:val="24"/>
          <w:lang w:val="en-US"/>
        </w:rPr>
        <w:t xml:space="preserve">values of SR144528. Both values were calculated using nonlinear regression analysis. Data are expressed as the mean </w:t>
      </w:r>
      <w:r w:rsidRPr="00BF3C5D">
        <w:rPr>
          <w:rFonts w:ascii="Times New Roman" w:hAnsi="Times New Roman" w:cs="Times New Roman"/>
          <w:sz w:val="24"/>
          <w:szCs w:val="24"/>
          <w:lang w:val="en-US"/>
        </w:rPr>
        <w:t xml:space="preserve">±SEM of 3 independent experiments (n=3), each one run in triplicate. </w:t>
      </w:r>
    </w:p>
    <w:p w14:paraId="45EB3411" w14:textId="77777777" w:rsidR="0087757B" w:rsidRPr="00BF3C5D" w:rsidRDefault="0087757B" w:rsidP="00C52E77">
      <w:pPr>
        <w:pStyle w:val="Heading2"/>
        <w:rPr>
          <w:lang w:val="en-US"/>
        </w:rPr>
      </w:pPr>
      <w:r w:rsidRPr="00BF3C5D">
        <w:rPr>
          <w:lang w:val="en-US"/>
        </w:rPr>
        <w:t>In vivo assessment of SR144528 therapeutic potential in ECM</w:t>
      </w:r>
    </w:p>
    <w:p w14:paraId="6B39467E" w14:textId="1676D862" w:rsidR="0087757B" w:rsidRPr="00BF3C5D" w:rsidRDefault="0087757B" w:rsidP="00BF3C5D">
      <w:pPr>
        <w:spacing w:after="120" w:line="360" w:lineRule="auto"/>
        <w:jc w:val="both"/>
        <w:rPr>
          <w:rFonts w:ascii="Times New Roman" w:hAnsi="Times New Roman" w:cs="Times New Roman"/>
          <w:sz w:val="24"/>
          <w:szCs w:val="24"/>
          <w:lang w:val="en-US"/>
        </w:rPr>
      </w:pPr>
      <w:r w:rsidRPr="00BF3C5D">
        <w:rPr>
          <w:rFonts w:ascii="Times New Roman" w:hAnsi="Times New Roman" w:cs="Times New Roman"/>
          <w:sz w:val="24"/>
          <w:szCs w:val="24"/>
          <w:lang w:val="en-US"/>
        </w:rPr>
        <w:t>The preclinical assessment of the therapeutic effect of SR144528 as a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 antagonist was carried out in the </w:t>
      </w:r>
      <w:r w:rsidRPr="00BF3C5D">
        <w:rPr>
          <w:rFonts w:ascii="Times New Roman" w:hAnsi="Times New Roman" w:cs="Times New Roman"/>
          <w:i/>
          <w:iCs/>
          <w:sz w:val="24"/>
          <w:szCs w:val="24"/>
          <w:lang w:val="en-US"/>
        </w:rPr>
        <w:t xml:space="preserve">P. berghei </w:t>
      </w:r>
      <w:r w:rsidRPr="00BF3C5D">
        <w:rPr>
          <w:rFonts w:ascii="Times New Roman" w:hAnsi="Times New Roman" w:cs="Times New Roman"/>
          <w:sz w:val="24"/>
          <w:szCs w:val="24"/>
          <w:lang w:val="en-US"/>
        </w:rPr>
        <w:t xml:space="preserve">ANKA ECM murine model. Several studies have widely highlighted the phenotypic similarities between the experimental  CM model </w:t>
      </w:r>
      <w:r w:rsidRPr="00BF3C5D">
        <w:rPr>
          <w:rFonts w:ascii="Times New Roman" w:hAnsi="Times New Roman" w:cs="Times New Roman"/>
          <w:sz w:val="24"/>
          <w:szCs w:val="24"/>
          <w:lang w:val="en-US"/>
        </w:rPr>
        <w:lastRenderedPageBreak/>
        <w:t xml:space="preserve">of </w:t>
      </w:r>
      <w:r w:rsidRPr="00BF3C5D">
        <w:rPr>
          <w:rFonts w:ascii="Times New Roman" w:hAnsi="Times New Roman" w:cs="Times New Roman"/>
          <w:i/>
          <w:iCs/>
          <w:sz w:val="24"/>
          <w:szCs w:val="24"/>
          <w:lang w:val="en-US"/>
        </w:rPr>
        <w:t xml:space="preserve">P. </w:t>
      </w:r>
      <w:proofErr w:type="spellStart"/>
      <w:r w:rsidRPr="00BF3C5D">
        <w:rPr>
          <w:rFonts w:ascii="Times New Roman" w:hAnsi="Times New Roman" w:cs="Times New Roman"/>
          <w:i/>
          <w:iCs/>
          <w:sz w:val="24"/>
          <w:szCs w:val="24"/>
          <w:lang w:val="en-US"/>
        </w:rPr>
        <w:t>berghei</w:t>
      </w:r>
      <w:proofErr w:type="spellEnd"/>
      <w:r w:rsidRPr="00BF3C5D">
        <w:rPr>
          <w:rFonts w:ascii="Times New Roman" w:hAnsi="Times New Roman" w:cs="Times New Roman"/>
          <w:i/>
          <w:iCs/>
          <w:sz w:val="24"/>
          <w:szCs w:val="24"/>
          <w:lang w:val="en-US"/>
        </w:rPr>
        <w:t xml:space="preserve"> </w:t>
      </w:r>
      <w:r w:rsidRPr="00BF3C5D">
        <w:rPr>
          <w:rFonts w:ascii="Times New Roman" w:hAnsi="Times New Roman" w:cs="Times New Roman"/>
          <w:sz w:val="24"/>
          <w:szCs w:val="24"/>
          <w:lang w:val="en-US"/>
        </w:rPr>
        <w:t xml:space="preserve">ANKA infecting C57BL/6 mouse and the neurological disease progression in humans </w:t>
      </w:r>
      <w:r w:rsidRPr="00BF3C5D">
        <w:rPr>
          <w:rFonts w:ascii="Times New Roman" w:eastAsiaTheme="minorHAnsi" w:hAnsi="Times New Roman" w:cs="Times New Roman"/>
          <w:sz w:val="24"/>
          <w:szCs w:val="24"/>
          <w:lang w:eastAsia="en-US" w:bidi="ar-SA"/>
        </w:rPr>
        <w:fldChar w:fldCharType="begin" w:fldLock="1"/>
      </w:r>
      <w:r w:rsidR="003F6C97" w:rsidRPr="00BF3C5D">
        <w:rPr>
          <w:rFonts w:ascii="Times New Roman" w:eastAsiaTheme="minorHAnsi" w:hAnsi="Times New Roman" w:cs="Times New Roman"/>
          <w:sz w:val="24"/>
          <w:szCs w:val="24"/>
          <w:lang w:val="en-US" w:eastAsia="en-US" w:bidi="ar-SA"/>
        </w:rPr>
        <w:instrText xml:space="preserve">ADDIN CSL_CITATION {"citationItems":[{"id":"ITEM-1","itemData":{"DOI":"10.1016/S1471-4906(03)00229-1","ISSN":"1471-4906","abstract":"Cerebral malaria (CM) is a major life-threatening complication of Plasmodium falciparum infection. The nature of the pathogenetic processes leading to the cerebral complications is poorly understood. Mouse models of this condition have provided insight into the key events in pathogenesis, including those that occur before clinical symptoms are seen. Some T helper 1 (Th1) cytokines (e.g. interferon-γ, lymphotoxin and tumour necrosis factor) have been implicated in driving the immunopathological process leading to CM, whereas some Th2 cytokines (e.g. interleukin-10, transforming growth factor-β) appear to oppose this process. Upregulation of leukocyte adhesion molecules on the cerebral microvascular endothelium appears to be an important component of the proinflammatory actions of the cytokines. Activation of platelets in the cerebral microcirculation could also be a key event in CM. Furthermore, recent evidence has emerged indicating that cytokines might influence biochemical pathways in the brain that, in turn, could determine the outcome of CM.","author":[{"dropping-particle":"","family":"Hunt","given":"Nicholas H","non-dropping-particle":"","parse-names":false,"suffix":""},{"dropping-particle":"","family":"Grau","given":"Georges E","non-dropping-particle":"","parse-names":false,"suffix":""}],"container-title":"Trends in Immunology","id":"ITEM-1","issue":"9","issued":{"date-parts":[["2003"]]},"page":"491-499","publisher":"Elsevier Current Trends","title":"Cytokines: accelerators and brakes in the pathogenesis of cerebral malaria","type":"article-journal","volume":"24"},"uris":["http://www.mendeley.com/documents/?uuid=35b10c3d-7cc4-309e-9879-83a0d1f25bae"]},{"id":"ITEM-2","itemData":{"DOI":"10.1128/CMR.14.4.810–820.2001","author":[{"dropping-particle":"","family":"Lou","given":"Jinning","non-dropping-particle":"","parse-names":false,"suffix":""},{"dropping-particle":"","family":"Lucas","given":"Ralf","non-dropping-particle":"","parse-names":false,"suffix":""},{"dropping-particle":"","family":"Grau","given":"Georges E","non-dropping-particle":"","parse-names":false,"suffix":""}],"id":"ITEM-2","issue":"4","issued":{"date-parts":[["2001"]]},"page":"810-820","title":"Pathogenesis of Cerebral Malaria: Recent Experimental Data and Possible Applications for Humans","type":"article-journal","volume":"14"},"uris":["http://www.mendeley.com/documents/?uuid=5abb79e2-3f78-34cf-bddc-484b98889c57"]},{"id":"ITEM-3","itemData":{"DOI":"10.1017/S0031182009991715","ISBN":"1469-8161 (Electronic)\\r0031-1820 (Linking)","ISSN":"00311820","PMID":"20028608","abstract":"Cerebral malaria is a life-threatening complication of malaria infection. The pathogenesis of cerebral malaria is poorly defined and progress in understanding the condition is severely hampered by the inability to study in detail, ante-mortem, the parasitological and immunological events within the brain that lead to the onset of clinical symptoms. Experimental murine models have been used to investigate the sequence of events that lead to cerebral malaria, but there is significant debate on the merits of these models and whether their study is relevant to human disease. Here we review the current understanding of the parasitological and immunological events leading to human and experimental cerebral malaria, and explain why we believe that studies with experimental models of CM are crucial to define the pathogenesis of the condition.","author":[{"dropping-particle":"","family":"Brian De Souza","given":"J","non-dropping-particle":"","parse-names":false,"suffix":""},{"dropping-particle":"","family":"Hafalla","given":"Julius C R","non-dropping-particle":"","parse-names":false,"suffix":""},{"dropping-particle":"","family":"Riley","given":"Eleanor M","non-dropping-particle":"","parse-names":false,"suffix":""},{"dropping-particle":"","family":"Couper","given":"Kevin N","non-dropping-particle":"","parse-names":false,"suffix":""}],"container-title":"Parasitology","id":"ITEM-3","issue":"5","issued":{"date-parts":[["2010"]]},"page":"755-772","title":"Cerebral malaria: Why experimental murine models are required to understand the pathogenesis of disease","type":"article","volume":"137"},"uris":["http://www.mendeley.com/documents/?uuid=b92e1749-860b-3932-9e19-1d469e0e8b1b"]},{"id":"ITEM-4","itemData":{"DOI":"10.1016/J.IJPARA.2006.02.004","ISSN":"0020-7519","abstract":"Malaria represents a continuing and major global health challenge and our understanding of how the Plasmodium parasite causes severe disease and death remains poor. One serious complication of the infection is cerebral malaria, a clinically complex syndrome of coma and potentially reversible encephalopathy, associated with a high mortality rate and increasingly recognised long-term sequelae in survivors. Research into the pathophysiology of cerebral malaria, using a combination of clinical and pathological studies, animal models and in vitro cell culture work, has focussed attention on the blood–brain barrier (BBB). This represents the key interface between the brain parenchyma and the parasite, which develops within an infected red cell but remains inside the vascular space. Studies of BBB function in cerebral malaria have provided some evidence for parasite-induced changes secondary to sequestration of parasitised red blood cells and host leukocytes within the cerebral microvasculature, such as redistribution of endothelial cell intercellular junction proteins and intracellular signaling. However, the evidence for a generalised increase in BBB permeability, leading to cerebral oedema, is conflicting. As well as direct cell adhesion-dependent effects, local adhesion-independent effects may activate and damage cerebral endothelial cells and perivascular cells, such as decreased blood flow, hypoxia or the effects of parasite toxins such as pigment. Finally, a number of systemic mechanisms </w:instrText>
      </w:r>
      <w:r w:rsidR="003F6C97" w:rsidRPr="008D1177">
        <w:rPr>
          <w:rFonts w:ascii="Times New Roman" w:eastAsiaTheme="minorHAnsi" w:hAnsi="Times New Roman" w:cs="Times New Roman"/>
          <w:sz w:val="24"/>
          <w:szCs w:val="24"/>
          <w:lang w:val="fr-FR" w:eastAsia="en-US" w:bidi="ar-SA"/>
        </w:rPr>
        <w:instrText>could influence the BBB during malaria, such as the metabolic and inflammatory complications of severe disease acting ‘at a distance'. This review will summarise evidence for these mechanisms from human studies of cerebral malaria and discuss the possible role for BBB dysfunction in this complex and challenging disease.","author":[{"dropping-particle":"","family":"Medana","given":"Isabelle M","non-dropping-particle":"","parse-names":false,"suffix":""},{"dropping-particle":"","family":"Turner","given":"Gareth D H","non-dropping-particle":"","parse-names":false,"suffix":""}],"container-title":"International Journal for Parasitology","id":"ITEM-4","issue":"5","issued":{"date-parts":[["2006"]]},"page":"555-568","publisher":"Pergamon","title":"Human cerebral malaria and the blood–brain barrier","type":"article-journal","volume":"36"},"uris":["http://www.mendeley.com/documents/?uuid=5681c8e0-5185-3087-8881-a667f3605f18"]}],"mendeley":{"formattedCitation":"(Brian De Souza, Hafalla, Riley, &amp; Couper, 2010; Hunt &amp; Grau, 2003; Lou, Lucas, &amp; Grau, 2001; Medana &amp; Turner, 2006)","plainTextFormattedCitation":"(Brian De Souza, Hafalla, Riley, &amp; Couper, 2010; Hunt &amp; Grau, 2003; Lou, Lucas, &amp; Grau, 2001; Medana &amp; Turner, 2006)","previouslyFormattedCitation":"(Brian De Souza, Hafalla, Riley, &amp; Couper, 2010; Hunt &amp; Grau, 2003; Lou, Lucas, &amp; Grau, 2001; Medana &amp; Turner, 2006)"},"properties":{"noteIndex":0},"schema":"https://github.com/citation-style-language/schema/raw/master/csl-citation.json"}</w:instrText>
      </w:r>
      <w:r w:rsidRPr="00BF3C5D">
        <w:rPr>
          <w:rFonts w:ascii="Times New Roman" w:eastAsiaTheme="minorHAnsi" w:hAnsi="Times New Roman" w:cs="Times New Roman"/>
          <w:sz w:val="24"/>
          <w:szCs w:val="24"/>
          <w:lang w:eastAsia="en-US" w:bidi="ar-SA"/>
        </w:rPr>
        <w:fldChar w:fldCharType="separate"/>
      </w:r>
      <w:r w:rsidRPr="008D1177">
        <w:rPr>
          <w:rFonts w:ascii="Times New Roman" w:eastAsiaTheme="minorHAnsi" w:hAnsi="Times New Roman" w:cs="Times New Roman"/>
          <w:noProof/>
          <w:sz w:val="24"/>
          <w:szCs w:val="24"/>
          <w:lang w:val="fr-FR" w:eastAsia="en-US" w:bidi="ar-SA"/>
        </w:rPr>
        <w:t>(Brian De Souza</w:t>
      </w:r>
      <w:r w:rsidR="004065C6" w:rsidRPr="008D1177">
        <w:rPr>
          <w:rFonts w:ascii="Times New Roman" w:eastAsiaTheme="minorHAnsi" w:hAnsi="Times New Roman" w:cs="Times New Roman"/>
          <w:noProof/>
          <w:sz w:val="24"/>
          <w:szCs w:val="24"/>
          <w:lang w:val="fr-FR" w:eastAsia="en-US" w:bidi="ar-SA"/>
        </w:rPr>
        <w:t xml:space="preserve"> et al.</w:t>
      </w:r>
      <w:r w:rsidRPr="008D1177">
        <w:rPr>
          <w:rFonts w:ascii="Times New Roman" w:eastAsiaTheme="minorHAnsi" w:hAnsi="Times New Roman" w:cs="Times New Roman"/>
          <w:noProof/>
          <w:sz w:val="24"/>
          <w:szCs w:val="24"/>
          <w:lang w:val="fr-FR" w:eastAsia="en-US" w:bidi="ar-SA"/>
        </w:rPr>
        <w:t>, 2010; Hunt &amp; Grau, 2003; Lou</w:t>
      </w:r>
      <w:r w:rsidR="004065C6" w:rsidRPr="008D1177">
        <w:rPr>
          <w:rFonts w:ascii="Times New Roman" w:eastAsiaTheme="minorHAnsi" w:hAnsi="Times New Roman" w:cs="Times New Roman"/>
          <w:noProof/>
          <w:sz w:val="24"/>
          <w:szCs w:val="24"/>
          <w:lang w:val="fr-FR" w:eastAsia="en-US" w:bidi="ar-SA"/>
        </w:rPr>
        <w:t xml:space="preserve"> et al.</w:t>
      </w:r>
      <w:r w:rsidRPr="008D1177">
        <w:rPr>
          <w:rFonts w:ascii="Times New Roman" w:eastAsiaTheme="minorHAnsi" w:hAnsi="Times New Roman" w:cs="Times New Roman"/>
          <w:noProof/>
          <w:sz w:val="24"/>
          <w:szCs w:val="24"/>
          <w:lang w:val="fr-FR" w:eastAsia="en-US" w:bidi="ar-SA"/>
        </w:rPr>
        <w:t>, 2001; Medana &amp; Turner, 2006)</w:t>
      </w:r>
      <w:r w:rsidRPr="00BF3C5D">
        <w:rPr>
          <w:rFonts w:ascii="Times New Roman" w:eastAsiaTheme="minorHAnsi" w:hAnsi="Times New Roman" w:cs="Times New Roman"/>
          <w:sz w:val="24"/>
          <w:szCs w:val="24"/>
          <w:lang w:eastAsia="en-US" w:bidi="ar-SA"/>
        </w:rPr>
        <w:fldChar w:fldCharType="end"/>
      </w:r>
      <w:r w:rsidRPr="008D1177">
        <w:rPr>
          <w:rFonts w:ascii="Times New Roman" w:hAnsi="Times New Roman" w:cs="Times New Roman"/>
          <w:sz w:val="24"/>
          <w:szCs w:val="24"/>
          <w:lang w:val="fr-FR"/>
        </w:rPr>
        <w:t xml:space="preserve">. </w:t>
      </w:r>
      <w:r w:rsidRPr="00BF3C5D">
        <w:rPr>
          <w:rFonts w:ascii="Times New Roman" w:hAnsi="Times New Roman" w:cs="Times New Roman"/>
          <w:sz w:val="24"/>
          <w:szCs w:val="24"/>
          <w:lang w:val="en-US"/>
        </w:rPr>
        <w:t>To follow disease and infection progress in this model, peripheral blood parasitemia</w:t>
      </w:r>
      <w:r w:rsidR="004065C6">
        <w:rPr>
          <w:rFonts w:ascii="Times New Roman" w:hAnsi="Times New Roman" w:cs="Times New Roman"/>
          <w:sz w:val="24"/>
          <w:szCs w:val="24"/>
          <w:lang w:val="en-US"/>
        </w:rPr>
        <w:t>,</w:t>
      </w:r>
      <w:r w:rsidRPr="00BF3C5D">
        <w:rPr>
          <w:rFonts w:ascii="Times New Roman" w:hAnsi="Times New Roman" w:cs="Times New Roman"/>
          <w:sz w:val="24"/>
          <w:szCs w:val="24"/>
          <w:lang w:val="en-US"/>
        </w:rPr>
        <w:t xml:space="preserve"> and neurological phenotype alterations </w:t>
      </w:r>
      <w:r w:rsidR="004065C6">
        <w:rPr>
          <w:rFonts w:ascii="Times New Roman" w:hAnsi="Times New Roman" w:cs="Times New Roman"/>
          <w:sz w:val="24"/>
          <w:szCs w:val="24"/>
          <w:lang w:val="en-US"/>
        </w:rPr>
        <w:t xml:space="preserve">were monitored </w:t>
      </w:r>
      <w:proofErr w:type="gramStart"/>
      <w:r w:rsidR="004065C6">
        <w:rPr>
          <w:rFonts w:ascii="Times New Roman" w:hAnsi="Times New Roman" w:cs="Times New Roman"/>
          <w:sz w:val="24"/>
          <w:szCs w:val="24"/>
          <w:lang w:val="en-US"/>
        </w:rPr>
        <w:t>on a</w:t>
      </w:r>
      <w:r w:rsidR="004065C6" w:rsidRPr="00BF3C5D">
        <w:rPr>
          <w:rFonts w:ascii="Times New Roman" w:hAnsi="Times New Roman" w:cs="Times New Roman"/>
          <w:sz w:val="24"/>
          <w:szCs w:val="24"/>
          <w:lang w:val="en-US"/>
        </w:rPr>
        <w:t xml:space="preserve"> </w:t>
      </w:r>
      <w:r w:rsidRPr="00BF3C5D">
        <w:rPr>
          <w:rFonts w:ascii="Times New Roman" w:hAnsi="Times New Roman" w:cs="Times New Roman"/>
          <w:sz w:val="24"/>
          <w:szCs w:val="24"/>
          <w:lang w:val="en-US"/>
        </w:rPr>
        <w:t xml:space="preserve">daily </w:t>
      </w:r>
      <w:r w:rsidR="004065C6">
        <w:rPr>
          <w:rFonts w:ascii="Times New Roman" w:hAnsi="Times New Roman" w:cs="Times New Roman"/>
          <w:sz w:val="24"/>
          <w:szCs w:val="24"/>
          <w:lang w:val="en-US"/>
        </w:rPr>
        <w:t>basis</w:t>
      </w:r>
      <w:proofErr w:type="gramEnd"/>
      <w:r w:rsidR="004065C6" w:rsidRPr="00BF3C5D">
        <w:rPr>
          <w:rFonts w:ascii="Times New Roman" w:hAnsi="Times New Roman" w:cs="Times New Roman"/>
          <w:sz w:val="24"/>
          <w:szCs w:val="24"/>
          <w:lang w:val="en-US"/>
        </w:rPr>
        <w:t xml:space="preserve"> </w:t>
      </w:r>
      <w:r w:rsidRPr="00BF3C5D">
        <w:rPr>
          <w:rFonts w:ascii="Times New Roman" w:hAnsi="Times New Roman" w:cs="Times New Roman"/>
          <w:sz w:val="24"/>
          <w:szCs w:val="24"/>
          <w:lang w:val="en-US"/>
        </w:rPr>
        <w:t xml:space="preserve">in treated and non-treated mice. </w:t>
      </w:r>
    </w:p>
    <w:p w14:paraId="0F523335" w14:textId="0DCFBC31" w:rsidR="0087757B" w:rsidRPr="00BF3C5D" w:rsidRDefault="0087757B" w:rsidP="00BF3C5D">
      <w:pPr>
        <w:spacing w:after="120" w:line="360" w:lineRule="auto"/>
        <w:jc w:val="both"/>
        <w:rPr>
          <w:rFonts w:ascii="Times New Roman" w:hAnsi="Times New Roman" w:cs="Times New Roman"/>
          <w:sz w:val="24"/>
          <w:szCs w:val="24"/>
          <w:lang w:val="en-US"/>
        </w:rPr>
      </w:pPr>
      <w:r w:rsidRPr="00BF3C5D">
        <w:rPr>
          <w:rFonts w:ascii="Times New Roman" w:hAnsi="Times New Roman" w:cs="Times New Roman"/>
          <w:sz w:val="24"/>
          <w:szCs w:val="24"/>
          <w:lang w:val="en-US"/>
        </w:rPr>
        <w:t xml:space="preserve">Peripheral blood parasitemia values are shown in Figure 2 for both non-treated (Fig. 2A) and SR144528 treated mice (Fig. 2B).  Values are individually plotted to show potential outliers responses, if any. Comparing non-treated and treated animals, a certain level of individual heterogeneity was observed in both groups. Thus, some animals showed a marked blood hyperparasitemia from day 10 post-infection, whereas others </w:t>
      </w:r>
      <w:r w:rsidR="007D187D">
        <w:rPr>
          <w:rFonts w:ascii="Times New Roman" w:hAnsi="Times New Roman" w:cs="Times New Roman"/>
          <w:sz w:val="24"/>
          <w:szCs w:val="24"/>
          <w:lang w:val="en-US"/>
        </w:rPr>
        <w:t xml:space="preserve">died </w:t>
      </w:r>
      <w:proofErr w:type="gramStart"/>
      <w:r w:rsidRPr="00BF3C5D">
        <w:rPr>
          <w:rFonts w:ascii="Times New Roman" w:hAnsi="Times New Roman" w:cs="Times New Roman"/>
          <w:sz w:val="24"/>
          <w:szCs w:val="24"/>
          <w:lang w:val="en-US"/>
        </w:rPr>
        <w:t>early</w:t>
      </w:r>
      <w:r w:rsidR="007D187D">
        <w:rPr>
          <w:rFonts w:ascii="Times New Roman" w:hAnsi="Times New Roman" w:cs="Times New Roman"/>
          <w:sz w:val="24"/>
          <w:szCs w:val="24"/>
          <w:lang w:val="en-US"/>
        </w:rPr>
        <w:t xml:space="preserve"> on</w:t>
      </w:r>
      <w:r w:rsidRPr="00BF3C5D">
        <w:rPr>
          <w:rFonts w:ascii="Times New Roman" w:hAnsi="Times New Roman" w:cs="Times New Roman"/>
          <w:sz w:val="24"/>
          <w:szCs w:val="24"/>
          <w:lang w:val="en-US"/>
        </w:rPr>
        <w:t xml:space="preserve"> in the</w:t>
      </w:r>
      <w:proofErr w:type="gramEnd"/>
      <w:r w:rsidRPr="00BF3C5D">
        <w:rPr>
          <w:rFonts w:ascii="Times New Roman" w:hAnsi="Times New Roman" w:cs="Times New Roman"/>
          <w:sz w:val="24"/>
          <w:szCs w:val="24"/>
          <w:lang w:val="en-US"/>
        </w:rPr>
        <w:t xml:space="preserve"> first 5 days after infection with low parasitemia levels (around 15%). </w:t>
      </w:r>
    </w:p>
    <w:p w14:paraId="5F832D3A" w14:textId="2AC4EAAE" w:rsidR="0087757B" w:rsidRPr="00BF3C5D" w:rsidRDefault="0087757B" w:rsidP="00BF3C5D">
      <w:pPr>
        <w:spacing w:after="120" w:line="360" w:lineRule="auto"/>
        <w:jc w:val="both"/>
        <w:rPr>
          <w:rFonts w:ascii="Times New Roman" w:hAnsi="Times New Roman" w:cs="Times New Roman"/>
          <w:sz w:val="24"/>
          <w:szCs w:val="24"/>
          <w:lang w:val="en-US"/>
        </w:rPr>
      </w:pPr>
      <w:r w:rsidRPr="00BF3C5D">
        <w:rPr>
          <w:rFonts w:ascii="Times New Roman" w:eastAsiaTheme="minorHAnsi" w:hAnsi="Times New Roman" w:cs="Times New Roman"/>
          <w:bCs/>
          <w:sz w:val="24"/>
          <w:szCs w:val="24"/>
          <w:lang w:val="en-US" w:eastAsia="en-US" w:bidi="ar-SA"/>
        </w:rPr>
        <w:t xml:space="preserve">Behavioral characterization of neurological alterations underlying CM progression allowed </w:t>
      </w:r>
      <w:r w:rsidR="007D187D">
        <w:rPr>
          <w:rFonts w:ascii="Times New Roman" w:eastAsiaTheme="minorHAnsi" w:hAnsi="Times New Roman" w:cs="Times New Roman"/>
          <w:bCs/>
          <w:sz w:val="24"/>
          <w:szCs w:val="24"/>
          <w:lang w:val="en-US" w:eastAsia="en-US" w:bidi="ar-SA"/>
        </w:rPr>
        <w:t>the conclusion</w:t>
      </w:r>
      <w:r w:rsidRPr="00BF3C5D">
        <w:rPr>
          <w:rFonts w:ascii="Times New Roman" w:eastAsiaTheme="minorHAnsi" w:hAnsi="Times New Roman" w:cs="Times New Roman"/>
          <w:bCs/>
          <w:sz w:val="24"/>
          <w:szCs w:val="24"/>
          <w:lang w:val="en-US" w:eastAsia="en-US" w:bidi="ar-SA"/>
        </w:rPr>
        <w:t xml:space="preserve"> that</w:t>
      </w:r>
      <w:r w:rsidR="007D187D">
        <w:rPr>
          <w:rFonts w:ascii="Times New Roman" w:eastAsiaTheme="minorHAnsi" w:hAnsi="Times New Roman" w:cs="Times New Roman"/>
          <w:bCs/>
          <w:sz w:val="24"/>
          <w:szCs w:val="24"/>
          <w:lang w:val="en-US" w:eastAsia="en-US" w:bidi="ar-SA"/>
        </w:rPr>
        <w:t>,</w:t>
      </w:r>
      <w:r w:rsidRPr="00BF3C5D">
        <w:rPr>
          <w:rFonts w:ascii="Times New Roman" w:eastAsiaTheme="minorHAnsi" w:hAnsi="Times New Roman" w:cs="Times New Roman"/>
          <w:bCs/>
          <w:sz w:val="24"/>
          <w:szCs w:val="24"/>
          <w:lang w:val="en-US" w:eastAsia="en-US" w:bidi="ar-SA"/>
        </w:rPr>
        <w:t xml:space="preserve"> based on the non-treated mice results, the </w:t>
      </w:r>
      <w:r w:rsidRPr="00BF3C5D">
        <w:rPr>
          <w:rFonts w:ascii="Times New Roman" w:eastAsiaTheme="minorHAnsi" w:hAnsi="Times New Roman" w:cs="Times New Roman"/>
          <w:bCs/>
          <w:i/>
          <w:iCs/>
          <w:sz w:val="24"/>
          <w:szCs w:val="24"/>
          <w:lang w:val="en-US" w:eastAsia="en-US" w:bidi="ar-SA"/>
        </w:rPr>
        <w:t>P. berghei</w:t>
      </w:r>
      <w:r w:rsidRPr="00BF3C5D">
        <w:rPr>
          <w:rFonts w:ascii="Times New Roman" w:eastAsiaTheme="minorHAnsi" w:hAnsi="Times New Roman" w:cs="Times New Roman"/>
          <w:bCs/>
          <w:sz w:val="24"/>
          <w:szCs w:val="24"/>
          <w:lang w:val="en-US" w:eastAsia="en-US" w:bidi="ar-SA"/>
        </w:rPr>
        <w:t xml:space="preserve"> ANKA-C57BL/6 model can lead to the acquisition of either non-cerebral malaria (NCM) with high levels of peripheral blood parasitemia or CM. Thus, considering the parasitemia curves and the corresponding phenotypes, we classified disease progress into three different clinical groups: a first group of CM, a second of NCM, and a third designated as ‘mixed group’. Consequently, we separately reanalyzed the data according to these three clinical groups (Fig. 3).</w:t>
      </w:r>
    </w:p>
    <w:p w14:paraId="466AF405" w14:textId="50409A22" w:rsidR="0087757B" w:rsidRPr="00BF3C5D" w:rsidRDefault="007D187D" w:rsidP="00BF3C5D">
      <w:pPr>
        <w:widowControl/>
        <w:autoSpaceDE/>
        <w:autoSpaceDN/>
        <w:spacing w:after="120" w:line="360" w:lineRule="auto"/>
        <w:jc w:val="both"/>
        <w:rPr>
          <w:rFonts w:ascii="Times New Roman" w:eastAsiaTheme="minorHAnsi" w:hAnsi="Times New Roman" w:cs="Times New Roman"/>
          <w:bCs/>
          <w:sz w:val="24"/>
          <w:szCs w:val="24"/>
          <w:lang w:val="en-US" w:eastAsia="en-US" w:bidi="ar-SA"/>
        </w:rPr>
      </w:pPr>
      <w:r>
        <w:rPr>
          <w:rFonts w:ascii="Times New Roman" w:eastAsiaTheme="minorHAnsi" w:hAnsi="Times New Roman" w:cs="Times New Roman"/>
          <w:bCs/>
          <w:sz w:val="24"/>
          <w:szCs w:val="24"/>
          <w:lang w:val="en-US" w:eastAsia="en-US" w:bidi="ar-SA"/>
        </w:rPr>
        <w:t xml:space="preserve">The </w:t>
      </w:r>
      <w:r>
        <w:rPr>
          <w:rFonts w:ascii="Times New Roman" w:eastAsiaTheme="minorHAnsi" w:hAnsi="Times New Roman" w:cs="Times New Roman"/>
          <w:b/>
          <w:sz w:val="24"/>
          <w:szCs w:val="24"/>
          <w:lang w:val="en-US" w:eastAsia="en-US" w:bidi="ar-SA"/>
        </w:rPr>
        <w:t>e</w:t>
      </w:r>
      <w:r w:rsidR="0087757B" w:rsidRPr="00BF3C5D">
        <w:rPr>
          <w:rFonts w:ascii="Times New Roman" w:eastAsiaTheme="minorHAnsi" w:hAnsi="Times New Roman" w:cs="Times New Roman"/>
          <w:b/>
          <w:sz w:val="24"/>
          <w:szCs w:val="24"/>
          <w:lang w:val="en-US" w:eastAsia="en-US" w:bidi="ar-SA"/>
        </w:rPr>
        <w:t xml:space="preserve">xperimental group of CM </w:t>
      </w:r>
      <w:r w:rsidR="0087757B" w:rsidRPr="00BF3C5D">
        <w:rPr>
          <w:rFonts w:ascii="Times New Roman" w:eastAsiaTheme="minorHAnsi" w:hAnsi="Times New Roman" w:cs="Times New Roman"/>
          <w:bCs/>
          <w:sz w:val="24"/>
          <w:szCs w:val="24"/>
          <w:lang w:val="en-US" w:eastAsia="en-US" w:bidi="ar-SA"/>
        </w:rPr>
        <w:t>(Fig. 3A) included</w:t>
      </w:r>
      <w:r w:rsidR="0087757B" w:rsidRPr="00BF3C5D">
        <w:rPr>
          <w:rFonts w:ascii="Times New Roman" w:eastAsiaTheme="minorHAnsi" w:hAnsi="Times New Roman" w:cs="Times New Roman"/>
          <w:bCs/>
          <w:iCs/>
          <w:sz w:val="24"/>
          <w:szCs w:val="24"/>
          <w:lang w:val="en-US" w:eastAsia="en-US" w:bidi="ar-SA"/>
        </w:rPr>
        <w:t xml:space="preserve"> </w:t>
      </w:r>
      <w:r w:rsidR="0087757B" w:rsidRPr="00BF3C5D">
        <w:rPr>
          <w:rFonts w:ascii="Times New Roman" w:eastAsiaTheme="minorHAnsi" w:hAnsi="Times New Roman" w:cs="Times New Roman"/>
          <w:bCs/>
          <w:sz w:val="24"/>
          <w:szCs w:val="24"/>
          <w:lang w:val="en-US" w:eastAsia="en-US" w:bidi="ar-SA"/>
        </w:rPr>
        <w:t xml:space="preserve">the non-treated mouse 1 and the treated mice 2 and 5. These </w:t>
      </w:r>
      <w:r w:rsidR="00785514">
        <w:rPr>
          <w:rFonts w:ascii="Times New Roman" w:eastAsiaTheme="minorHAnsi" w:hAnsi="Times New Roman" w:cs="Times New Roman"/>
          <w:bCs/>
          <w:sz w:val="24"/>
          <w:szCs w:val="24"/>
          <w:lang w:val="en-US" w:eastAsia="en-US" w:bidi="ar-SA"/>
        </w:rPr>
        <w:t>three</w:t>
      </w:r>
      <w:r w:rsidR="0087757B" w:rsidRPr="00BF3C5D">
        <w:rPr>
          <w:rFonts w:ascii="Times New Roman" w:eastAsiaTheme="minorHAnsi" w:hAnsi="Times New Roman" w:cs="Times New Roman"/>
          <w:bCs/>
          <w:sz w:val="24"/>
          <w:szCs w:val="24"/>
          <w:lang w:val="en-US" w:eastAsia="en-US" w:bidi="ar-SA"/>
        </w:rPr>
        <w:t xml:space="preserve"> animals</w:t>
      </w:r>
      <w:r w:rsidR="00785514">
        <w:rPr>
          <w:rFonts w:ascii="Times New Roman" w:eastAsiaTheme="minorHAnsi" w:hAnsi="Times New Roman" w:cs="Times New Roman"/>
          <w:bCs/>
          <w:sz w:val="24"/>
          <w:szCs w:val="24"/>
          <w:lang w:val="en-US" w:eastAsia="en-US" w:bidi="ar-SA"/>
        </w:rPr>
        <w:t xml:space="preserve"> </w:t>
      </w:r>
      <w:r w:rsidR="0087757B" w:rsidRPr="00BF3C5D">
        <w:rPr>
          <w:rFonts w:ascii="Times New Roman" w:eastAsiaTheme="minorHAnsi" w:hAnsi="Times New Roman" w:cs="Times New Roman"/>
          <w:bCs/>
          <w:sz w:val="24"/>
          <w:szCs w:val="24"/>
          <w:lang w:val="en-US" w:eastAsia="en-US" w:bidi="ar-SA"/>
        </w:rPr>
        <w:t>were classified as CM cases</w:t>
      </w:r>
      <w:r w:rsidR="00785514">
        <w:rPr>
          <w:rFonts w:ascii="Times New Roman" w:eastAsiaTheme="minorHAnsi" w:hAnsi="Times New Roman" w:cs="Times New Roman"/>
          <w:bCs/>
          <w:sz w:val="24"/>
          <w:szCs w:val="24"/>
          <w:lang w:val="en-US" w:eastAsia="en-US" w:bidi="ar-SA"/>
        </w:rPr>
        <w:t xml:space="preserve">, </w:t>
      </w:r>
      <w:r w:rsidR="00785514" w:rsidRPr="00BF3C5D">
        <w:rPr>
          <w:rFonts w:ascii="Times New Roman" w:eastAsiaTheme="minorHAnsi" w:hAnsi="Times New Roman" w:cs="Times New Roman"/>
          <w:bCs/>
          <w:sz w:val="24"/>
          <w:szCs w:val="24"/>
          <w:lang w:val="en-US" w:eastAsia="en-US" w:bidi="ar-SA"/>
        </w:rPr>
        <w:t xml:space="preserve">considering </w:t>
      </w:r>
      <w:r w:rsidR="00785514">
        <w:rPr>
          <w:rFonts w:ascii="Times New Roman" w:eastAsiaTheme="minorHAnsi" w:hAnsi="Times New Roman" w:cs="Times New Roman"/>
          <w:bCs/>
          <w:sz w:val="24"/>
          <w:szCs w:val="24"/>
          <w:lang w:val="en-US" w:eastAsia="en-US" w:bidi="ar-SA"/>
        </w:rPr>
        <w:t xml:space="preserve">their </w:t>
      </w:r>
      <w:r w:rsidR="00785514" w:rsidRPr="00BF3C5D">
        <w:rPr>
          <w:rFonts w:ascii="Times New Roman" w:eastAsiaTheme="minorHAnsi" w:hAnsi="Times New Roman" w:cs="Times New Roman"/>
          <w:bCs/>
          <w:sz w:val="24"/>
          <w:szCs w:val="24"/>
          <w:lang w:val="en-US" w:eastAsia="en-US" w:bidi="ar-SA"/>
        </w:rPr>
        <w:t>phenotypic alterations, blood parasitemia levels</w:t>
      </w:r>
      <w:r w:rsidR="00785514">
        <w:rPr>
          <w:rFonts w:ascii="Times New Roman" w:eastAsiaTheme="minorHAnsi" w:hAnsi="Times New Roman" w:cs="Times New Roman"/>
          <w:bCs/>
          <w:sz w:val="24"/>
          <w:szCs w:val="24"/>
          <w:lang w:val="en-US" w:eastAsia="en-US" w:bidi="ar-SA"/>
        </w:rPr>
        <w:t>,</w:t>
      </w:r>
      <w:r w:rsidR="00785514" w:rsidRPr="00BF3C5D">
        <w:rPr>
          <w:rFonts w:ascii="Times New Roman" w:eastAsiaTheme="minorHAnsi" w:hAnsi="Times New Roman" w:cs="Times New Roman"/>
          <w:bCs/>
          <w:sz w:val="24"/>
          <w:szCs w:val="24"/>
          <w:lang w:val="en-US" w:eastAsia="en-US" w:bidi="ar-SA"/>
        </w:rPr>
        <w:t xml:space="preserve"> and disease progression</w:t>
      </w:r>
      <w:r w:rsidR="0087757B" w:rsidRPr="00BF3C5D">
        <w:rPr>
          <w:rFonts w:ascii="Times New Roman" w:eastAsiaTheme="minorHAnsi" w:hAnsi="Times New Roman" w:cs="Times New Roman"/>
          <w:bCs/>
          <w:sz w:val="24"/>
          <w:szCs w:val="24"/>
          <w:lang w:val="en-US" w:eastAsia="en-US" w:bidi="ar-SA"/>
        </w:rPr>
        <w:t>. These mice showed phenotypic features of brain pathology that can be assigned to a disease stage II on day 5 post-infection</w:t>
      </w:r>
      <w:r w:rsidR="00785514">
        <w:rPr>
          <w:rFonts w:ascii="Times New Roman" w:eastAsiaTheme="minorHAnsi" w:hAnsi="Times New Roman" w:cs="Times New Roman"/>
          <w:bCs/>
          <w:sz w:val="24"/>
          <w:szCs w:val="24"/>
          <w:lang w:val="en-US" w:eastAsia="en-US" w:bidi="ar-SA"/>
        </w:rPr>
        <w:t>,</w:t>
      </w:r>
      <w:r w:rsidR="0087757B" w:rsidRPr="00BF3C5D">
        <w:rPr>
          <w:rFonts w:ascii="Times New Roman" w:eastAsiaTheme="minorHAnsi" w:hAnsi="Times New Roman" w:cs="Times New Roman"/>
          <w:bCs/>
          <w:sz w:val="24"/>
          <w:szCs w:val="24"/>
          <w:lang w:val="en-US" w:eastAsia="en-US" w:bidi="ar-SA"/>
        </w:rPr>
        <w:t xml:space="preserve"> with incipient neurological alterations such as ruffled fur, head deviation, tremor</w:t>
      </w:r>
      <w:r w:rsidR="00785514">
        <w:rPr>
          <w:rFonts w:ascii="Times New Roman" w:eastAsiaTheme="minorHAnsi" w:hAnsi="Times New Roman" w:cs="Times New Roman"/>
          <w:bCs/>
          <w:sz w:val="24"/>
          <w:szCs w:val="24"/>
          <w:lang w:val="en-US" w:eastAsia="en-US" w:bidi="ar-SA"/>
        </w:rPr>
        <w:t>,</w:t>
      </w:r>
      <w:r w:rsidR="0087757B" w:rsidRPr="00BF3C5D">
        <w:rPr>
          <w:rFonts w:ascii="Times New Roman" w:eastAsiaTheme="minorHAnsi" w:hAnsi="Times New Roman" w:cs="Times New Roman"/>
          <w:bCs/>
          <w:sz w:val="24"/>
          <w:szCs w:val="24"/>
          <w:lang w:val="en-US" w:eastAsia="en-US" w:bidi="ar-SA"/>
        </w:rPr>
        <w:t xml:space="preserve"> and increased respiratory rate. These mice died on day 6 post-infection with low parasitemia levels around 11-18%.</w:t>
      </w:r>
    </w:p>
    <w:p w14:paraId="10203784" w14:textId="37CFDC5E" w:rsidR="0087757B" w:rsidRPr="00BF3C5D" w:rsidRDefault="0087757B" w:rsidP="00BF3C5D">
      <w:pPr>
        <w:widowControl/>
        <w:autoSpaceDE/>
        <w:autoSpaceDN/>
        <w:spacing w:after="120" w:line="360" w:lineRule="auto"/>
        <w:jc w:val="both"/>
        <w:rPr>
          <w:rFonts w:ascii="Times New Roman" w:eastAsiaTheme="minorHAnsi" w:hAnsi="Times New Roman" w:cs="Times New Roman"/>
          <w:bCs/>
          <w:sz w:val="24"/>
          <w:szCs w:val="24"/>
          <w:lang w:val="en-US" w:eastAsia="en-US" w:bidi="ar-SA"/>
        </w:rPr>
      </w:pPr>
      <w:r w:rsidRPr="00BF3C5D">
        <w:rPr>
          <w:rFonts w:ascii="Times New Roman" w:eastAsiaTheme="minorHAnsi" w:hAnsi="Times New Roman" w:cs="Times New Roman"/>
          <w:bCs/>
          <w:sz w:val="24"/>
          <w:szCs w:val="24"/>
          <w:lang w:val="en-US" w:eastAsia="en-US" w:bidi="ar-SA"/>
        </w:rPr>
        <w:t xml:space="preserve">The </w:t>
      </w:r>
      <w:r w:rsidRPr="00BF3C5D">
        <w:rPr>
          <w:rFonts w:ascii="Times New Roman" w:eastAsiaTheme="minorHAnsi" w:hAnsi="Times New Roman" w:cs="Times New Roman"/>
          <w:b/>
          <w:sz w:val="24"/>
          <w:szCs w:val="24"/>
          <w:lang w:val="en-US" w:eastAsia="en-US" w:bidi="ar-SA"/>
        </w:rPr>
        <w:t>NCM group</w:t>
      </w:r>
      <w:r w:rsidRPr="00BF3C5D">
        <w:rPr>
          <w:rFonts w:ascii="Times New Roman" w:eastAsiaTheme="minorHAnsi" w:hAnsi="Times New Roman" w:cs="Times New Roman"/>
          <w:bCs/>
          <w:sz w:val="24"/>
          <w:szCs w:val="24"/>
          <w:lang w:val="en-US" w:eastAsia="en-US" w:bidi="ar-SA"/>
        </w:rPr>
        <w:t xml:space="preserve"> (Fig. 3B) included the non-treated mice 2, 3</w:t>
      </w:r>
      <w:r w:rsidR="00785514">
        <w:rPr>
          <w:rFonts w:ascii="Times New Roman" w:eastAsiaTheme="minorHAnsi" w:hAnsi="Times New Roman" w:cs="Times New Roman"/>
          <w:bCs/>
          <w:sz w:val="24"/>
          <w:szCs w:val="24"/>
          <w:lang w:val="en-US" w:eastAsia="en-US" w:bidi="ar-SA"/>
        </w:rPr>
        <w:t>,</w:t>
      </w:r>
      <w:r w:rsidRPr="00BF3C5D">
        <w:rPr>
          <w:rFonts w:ascii="Times New Roman" w:eastAsiaTheme="minorHAnsi" w:hAnsi="Times New Roman" w:cs="Times New Roman"/>
          <w:bCs/>
          <w:sz w:val="24"/>
          <w:szCs w:val="24"/>
          <w:lang w:val="en-US" w:eastAsia="en-US" w:bidi="ar-SA"/>
        </w:rPr>
        <w:t xml:space="preserve"> and 4 and the treated mice 4 and 6. These animals</w:t>
      </w:r>
      <w:r w:rsidR="00785514">
        <w:rPr>
          <w:rFonts w:ascii="Times New Roman" w:eastAsiaTheme="minorHAnsi" w:hAnsi="Times New Roman" w:cs="Times New Roman"/>
          <w:bCs/>
          <w:sz w:val="24"/>
          <w:szCs w:val="24"/>
          <w:lang w:val="en-US" w:eastAsia="en-US" w:bidi="ar-SA"/>
        </w:rPr>
        <w:t xml:space="preserve"> were classified as NCM cases</w:t>
      </w:r>
      <w:r w:rsidRPr="00BF3C5D">
        <w:rPr>
          <w:rFonts w:ascii="Times New Roman" w:eastAsiaTheme="minorHAnsi" w:hAnsi="Times New Roman" w:cs="Times New Roman"/>
          <w:bCs/>
          <w:sz w:val="24"/>
          <w:szCs w:val="24"/>
          <w:lang w:val="en-US" w:eastAsia="en-US" w:bidi="ar-SA"/>
        </w:rPr>
        <w:t xml:space="preserve"> based on parasitemia development and disease progression, showing no signs or behaviors of neurological disorder. All individuals in this group evolved similarly and died within the same time interval between days 15 and 21 post-infection due to a strong hyperparasitemia around 49-53% that caused a strong weight loss and weakness of the animals. </w:t>
      </w:r>
    </w:p>
    <w:p w14:paraId="3EFE724F" w14:textId="72CAB029" w:rsidR="0087757B" w:rsidRPr="00BF3C5D" w:rsidRDefault="0087757B" w:rsidP="00BF3C5D">
      <w:pPr>
        <w:widowControl/>
        <w:autoSpaceDE/>
        <w:autoSpaceDN/>
        <w:spacing w:after="120" w:line="360" w:lineRule="auto"/>
        <w:jc w:val="both"/>
        <w:rPr>
          <w:rFonts w:ascii="Times New Roman" w:hAnsi="Times New Roman" w:cs="Times New Roman"/>
          <w:sz w:val="24"/>
          <w:szCs w:val="24"/>
          <w:lang w:val="en-US"/>
        </w:rPr>
      </w:pPr>
      <w:r w:rsidRPr="00BF3C5D">
        <w:rPr>
          <w:rFonts w:ascii="Times New Roman" w:eastAsiaTheme="minorHAnsi" w:hAnsi="Times New Roman" w:cs="Times New Roman"/>
          <w:bCs/>
          <w:sz w:val="24"/>
          <w:szCs w:val="24"/>
          <w:lang w:val="en-US" w:eastAsia="en-US" w:bidi="ar-SA"/>
        </w:rPr>
        <w:lastRenderedPageBreak/>
        <w:t xml:space="preserve">The </w:t>
      </w:r>
      <w:r w:rsidRPr="00BF3C5D">
        <w:rPr>
          <w:rFonts w:ascii="Times New Roman" w:eastAsiaTheme="minorHAnsi" w:hAnsi="Times New Roman" w:cs="Times New Roman"/>
          <w:b/>
          <w:sz w:val="24"/>
          <w:szCs w:val="24"/>
          <w:lang w:val="en-US" w:eastAsia="en-US" w:bidi="ar-SA"/>
        </w:rPr>
        <w:t xml:space="preserve">‘mixed group’ </w:t>
      </w:r>
      <w:r w:rsidRPr="00BF3C5D">
        <w:rPr>
          <w:rFonts w:ascii="Times New Roman" w:eastAsiaTheme="minorHAnsi" w:hAnsi="Times New Roman" w:cs="Times New Roman"/>
          <w:bCs/>
          <w:sz w:val="24"/>
          <w:szCs w:val="24"/>
          <w:lang w:val="en-US" w:eastAsia="en-US" w:bidi="ar-SA"/>
        </w:rPr>
        <w:t xml:space="preserve">(Fig. 3C) enclosed treated mice 1 and 3. In these </w:t>
      </w:r>
      <w:r w:rsidR="00F468BA">
        <w:rPr>
          <w:rFonts w:ascii="Times New Roman" w:eastAsiaTheme="minorHAnsi" w:hAnsi="Times New Roman" w:cs="Times New Roman"/>
          <w:bCs/>
          <w:sz w:val="24"/>
          <w:szCs w:val="24"/>
          <w:lang w:val="en-US" w:eastAsia="en-US" w:bidi="ar-SA"/>
        </w:rPr>
        <w:t xml:space="preserve">two </w:t>
      </w:r>
      <w:r w:rsidRPr="00BF3C5D">
        <w:rPr>
          <w:rFonts w:ascii="Times New Roman" w:eastAsiaTheme="minorHAnsi" w:hAnsi="Times New Roman" w:cs="Times New Roman"/>
          <w:bCs/>
          <w:sz w:val="24"/>
          <w:szCs w:val="24"/>
          <w:lang w:val="en-US" w:eastAsia="en-US" w:bidi="ar-SA"/>
        </w:rPr>
        <w:t xml:space="preserve">mice, the progression of the disease took place in </w:t>
      </w:r>
      <w:r w:rsidR="00F468BA">
        <w:rPr>
          <w:rFonts w:ascii="Times New Roman" w:eastAsiaTheme="minorHAnsi" w:hAnsi="Times New Roman" w:cs="Times New Roman"/>
          <w:bCs/>
          <w:sz w:val="24"/>
          <w:szCs w:val="24"/>
          <w:lang w:val="en-US" w:eastAsia="en-US" w:bidi="ar-SA"/>
        </w:rPr>
        <w:t>three</w:t>
      </w:r>
      <w:r w:rsidRPr="00BF3C5D">
        <w:rPr>
          <w:rFonts w:ascii="Times New Roman" w:eastAsiaTheme="minorHAnsi" w:hAnsi="Times New Roman" w:cs="Times New Roman"/>
          <w:bCs/>
          <w:sz w:val="24"/>
          <w:szCs w:val="24"/>
          <w:lang w:val="en-US" w:eastAsia="en-US" w:bidi="ar-SA"/>
        </w:rPr>
        <w:t xml:space="preserve"> different phases, clearly associated with their parasitemia level profiles: a first stage of CM between days 1-7 post-infection; a second phase of recovery between days 8 and 11; and a third stage in which the animals acquired NCM, from day 12 post-infection until death. In phase I, the animals developed a phenotypic and behavioral evolution </w:t>
      </w:r>
      <w:proofErr w:type="gramStart"/>
      <w:r w:rsidRPr="00BF3C5D">
        <w:rPr>
          <w:rFonts w:ascii="Times New Roman" w:eastAsiaTheme="minorHAnsi" w:hAnsi="Times New Roman" w:cs="Times New Roman"/>
          <w:bCs/>
          <w:sz w:val="24"/>
          <w:szCs w:val="24"/>
          <w:lang w:val="en-US" w:eastAsia="en-US" w:bidi="ar-SA"/>
        </w:rPr>
        <w:t>similar to</w:t>
      </w:r>
      <w:proofErr w:type="gramEnd"/>
      <w:r w:rsidRPr="00BF3C5D">
        <w:rPr>
          <w:rFonts w:ascii="Times New Roman" w:eastAsiaTheme="minorHAnsi" w:hAnsi="Times New Roman" w:cs="Times New Roman"/>
          <w:bCs/>
          <w:sz w:val="24"/>
          <w:szCs w:val="24"/>
          <w:lang w:val="en-US" w:eastAsia="en-US" w:bidi="ar-SA"/>
        </w:rPr>
        <w:t xml:space="preserve"> the CM group. On day 7 post-infection, concurring with a parasitemia peak around 25-30% (Fig. 3C) showed clinical manifestations of stage III CM, including ruffled fur, back elevation, head deviation, ataxia, slight hemi-paralysis of the hindlimbs, and lack of response to stimuli. Nevertheless, these two animals did not progress to coma and death but from day 8 post-infection, the animals entered what can be considered a phase II with a tendency to recovery by the observed decrease in parasitemia levels to 19-22%. This reduction in parasitemia values was also reflected in the neurological signs with recovered mobility, response to stimuli and no tremor or head deviation. Finally, from day 12 post-infection, their clinical and parasitemia evolution matched with the mice included in the NCM group, acquiring very high levels of parasitemia, around 50-55%, without neurological alterations but dying at day 17-19 post-infection due to critical weakness, marked weight loss and severe anemia. </w:t>
      </w:r>
    </w:p>
    <w:p w14:paraId="427412BF" w14:textId="64D51A6A" w:rsidR="0087757B" w:rsidRPr="00BF3C5D" w:rsidRDefault="0087757B" w:rsidP="00BF3C5D">
      <w:pPr>
        <w:spacing w:after="120" w:line="360" w:lineRule="auto"/>
        <w:jc w:val="both"/>
        <w:rPr>
          <w:rFonts w:ascii="Times New Roman" w:hAnsi="Times New Roman" w:cs="Times New Roman"/>
          <w:i/>
          <w:iCs/>
          <w:sz w:val="24"/>
          <w:szCs w:val="24"/>
          <w:lang w:val="en-US"/>
        </w:rPr>
      </w:pPr>
      <w:r w:rsidRPr="00BF3C5D">
        <w:rPr>
          <w:rFonts w:ascii="Times New Roman" w:hAnsi="Times New Roman" w:cs="Times New Roman"/>
          <w:sz w:val="24"/>
          <w:szCs w:val="24"/>
          <w:lang w:val="en-US"/>
        </w:rPr>
        <w:t>According to this clustering, SR144528 administration to the CM and NCM groups had no therapeutic effect. The evolution of the infection did not change between treated and non-treated mice in CM and NCM groups, finally ending in death at the same time, either by CM or by severe anemia, respectively (Figs. 3A-B). However, in the ‘mixed group’, it can be observed that the treatment might have a slight and transient favorable effect, reducing temporarily parasitemia with remission of neurological signs associated with CM (Fig. 3C)</w:t>
      </w:r>
      <w:r w:rsidR="0011164C">
        <w:rPr>
          <w:rFonts w:ascii="Times New Roman" w:hAnsi="Times New Roman" w:cs="Times New Roman"/>
          <w:sz w:val="24"/>
          <w:szCs w:val="24"/>
          <w:lang w:val="en-US"/>
        </w:rPr>
        <w:t>.</w:t>
      </w:r>
    </w:p>
    <w:p w14:paraId="79FFFF40" w14:textId="21E9B07C" w:rsidR="0087757B" w:rsidRPr="00BF3C5D" w:rsidRDefault="0087757B" w:rsidP="00BF3C5D">
      <w:pPr>
        <w:spacing w:after="120" w:line="360" w:lineRule="auto"/>
        <w:jc w:val="both"/>
        <w:rPr>
          <w:rFonts w:ascii="Times New Roman" w:hAnsi="Times New Roman" w:cs="Times New Roman"/>
          <w:bCs/>
          <w:sz w:val="24"/>
          <w:szCs w:val="24"/>
          <w:lang w:val="en-US"/>
        </w:rPr>
      </w:pPr>
      <w:r w:rsidRPr="00BF3C5D">
        <w:rPr>
          <w:rFonts w:ascii="Times New Roman" w:hAnsi="Times New Roman" w:cs="Times New Roman"/>
          <w:sz w:val="24"/>
          <w:szCs w:val="24"/>
          <w:lang w:val="en-US"/>
        </w:rPr>
        <w:t xml:space="preserve">Furthermore, </w:t>
      </w:r>
      <w:r w:rsidRPr="008D1177">
        <w:rPr>
          <w:rFonts w:ascii="Times New Roman" w:hAnsi="Times New Roman" w:cs="Times New Roman"/>
          <w:sz w:val="24"/>
          <w:szCs w:val="24"/>
          <w:lang w:val="en-US"/>
        </w:rPr>
        <w:t>post-mortem</w:t>
      </w:r>
      <w:r w:rsidRPr="00BF3C5D">
        <w:rPr>
          <w:rFonts w:ascii="Times New Roman" w:hAnsi="Times New Roman" w:cs="Times New Roman"/>
          <w:sz w:val="24"/>
          <w:szCs w:val="24"/>
          <w:lang w:val="en-US"/>
        </w:rPr>
        <w:t xml:space="preserve"> studies showed histopathological features that agreed the classification into </w:t>
      </w:r>
      <w:r w:rsidR="0011164C">
        <w:rPr>
          <w:rFonts w:ascii="Times New Roman" w:hAnsi="Times New Roman" w:cs="Times New Roman"/>
          <w:sz w:val="24"/>
          <w:szCs w:val="24"/>
          <w:lang w:val="en-US"/>
        </w:rPr>
        <w:t>three</w:t>
      </w:r>
      <w:r w:rsidR="0011164C" w:rsidRPr="00BF3C5D">
        <w:rPr>
          <w:rFonts w:ascii="Times New Roman" w:hAnsi="Times New Roman" w:cs="Times New Roman"/>
          <w:sz w:val="24"/>
          <w:szCs w:val="24"/>
          <w:lang w:val="en-US"/>
        </w:rPr>
        <w:t xml:space="preserve"> </w:t>
      </w:r>
      <w:r w:rsidRPr="00BF3C5D">
        <w:rPr>
          <w:rFonts w:ascii="Times New Roman" w:hAnsi="Times New Roman" w:cs="Times New Roman"/>
          <w:sz w:val="24"/>
          <w:szCs w:val="24"/>
          <w:lang w:val="en-US"/>
        </w:rPr>
        <w:t>groups based on the clinical manifestations above established. Mice included in the CM group showed clear signs of cerebral alterations at meningeal, cerebellar</w:t>
      </w:r>
      <w:r w:rsidR="0011164C">
        <w:rPr>
          <w:rFonts w:ascii="Times New Roman" w:hAnsi="Times New Roman" w:cs="Times New Roman"/>
          <w:sz w:val="24"/>
          <w:szCs w:val="24"/>
          <w:lang w:val="en-US"/>
        </w:rPr>
        <w:t>,</w:t>
      </w:r>
      <w:r w:rsidRPr="00BF3C5D">
        <w:rPr>
          <w:rFonts w:ascii="Times New Roman" w:hAnsi="Times New Roman" w:cs="Times New Roman"/>
          <w:sz w:val="24"/>
          <w:szCs w:val="24"/>
          <w:lang w:val="en-US"/>
        </w:rPr>
        <w:t xml:space="preserve"> and cortical level (Fig. 4). Remarkable clusters of inflammatory cells can be observed in several blood vessels at the white and gray matter and meninges, as well as sequestration of pRBC with mature forms of the parasite in the cerebral vasculature (Figs. 4A-B). Interestingly, typical erythrocyte </w:t>
      </w:r>
      <w:proofErr w:type="spellStart"/>
      <w:r w:rsidRPr="00BF3C5D">
        <w:rPr>
          <w:rFonts w:ascii="Times New Roman" w:hAnsi="Times New Roman" w:cs="Times New Roman"/>
          <w:sz w:val="24"/>
          <w:szCs w:val="24"/>
          <w:lang w:val="en-US"/>
        </w:rPr>
        <w:t>Rosseting</w:t>
      </w:r>
      <w:proofErr w:type="spellEnd"/>
      <w:r w:rsidRPr="00BF3C5D">
        <w:rPr>
          <w:rFonts w:ascii="Times New Roman" w:hAnsi="Times New Roman" w:cs="Times New Roman"/>
          <w:sz w:val="24"/>
          <w:szCs w:val="24"/>
          <w:lang w:val="en-US"/>
        </w:rPr>
        <w:t xml:space="preserve"> (Fig. 4C), i.e.</w:t>
      </w:r>
      <w:r w:rsidR="00651437">
        <w:rPr>
          <w:rFonts w:ascii="Times New Roman" w:hAnsi="Times New Roman" w:cs="Times New Roman"/>
          <w:sz w:val="24"/>
          <w:szCs w:val="24"/>
          <w:lang w:val="en-US"/>
        </w:rPr>
        <w:t>,</w:t>
      </w:r>
      <w:r w:rsidRPr="00BF3C5D">
        <w:rPr>
          <w:rFonts w:ascii="Times New Roman" w:hAnsi="Times New Roman" w:cs="Times New Roman"/>
          <w:sz w:val="24"/>
          <w:szCs w:val="24"/>
          <w:lang w:val="en-US"/>
        </w:rPr>
        <w:t xml:space="preserve"> aggregations of noninfected erythrocytes and pRBCs contributing to the microvascular obstruction, </w:t>
      </w:r>
      <w:r w:rsidRPr="00BF3C5D">
        <w:rPr>
          <w:rFonts w:ascii="Times New Roman" w:hAnsi="Times New Roman" w:cs="Times New Roman"/>
          <w:sz w:val="24"/>
          <w:szCs w:val="24"/>
          <w:lang w:val="en-US"/>
        </w:rPr>
        <w:lastRenderedPageBreak/>
        <w:t xml:space="preserve">support further signs of severe malaria </w:t>
      </w:r>
      <w:r w:rsidRPr="00BF3C5D">
        <w:rPr>
          <w:rFonts w:ascii="Times New Roman" w:hAnsi="Times New Roman" w:cs="Times New Roman"/>
          <w:sz w:val="24"/>
          <w:szCs w:val="24"/>
        </w:rPr>
        <w:fldChar w:fldCharType="begin" w:fldLock="1"/>
      </w:r>
      <w:r w:rsidR="003F6C97" w:rsidRPr="00BF3C5D">
        <w:rPr>
          <w:rFonts w:ascii="Times New Roman" w:hAnsi="Times New Roman" w:cs="Times New Roman"/>
          <w:sz w:val="24"/>
          <w:szCs w:val="24"/>
          <w:lang w:val="en-US"/>
        </w:rPr>
        <w:instrText>ADDIN CSL_CITATION {"citationItems":[{"id":"ITEM-1","itemData":{"ISBN":"9789500604352","abstract":"5a ed. Incluye índice analítico.","author":[{"dropping-particle":"","family":"Ross","given":"Michael H","non-dropping-particle":"","parse-names":false,"suffix":""},{"dropping-particle":"","family":"Pawlina","given":"Wojciech.","non-dropping-particle":"","parse-names":false,"suffix":""},{"dropping-particle":"","family":"Negrete","given":"Jorge Horacio","non-dropping-particle":"","parse-names":false,"suffix":""}],"id":"ITEM-1","issued":{"date-parts":[["2007"]]},"publisher":"Médica Panamericana","title":"Histología : texto y atlas color con biología celular y molecular","type":"book"},"uris":["http://www.mendeley.com/documents/?uuid=2567d5f0-b0b9-3e07-b427-f16cf8bd7b48"]}],"mendeley":{"formattedCitation":"(Ross, Pawlina, &amp; Negrete, 2007)","plainTextFormattedCitation":"(Ross, Pawlina, &amp; Negrete, 2007)","previouslyFormattedCitation":"(Ross, Pawlina, &amp; Negrete, 2007)"},"properties":{"noteIndex":0},"schema":"https://github.com/citation-style-language/schema/raw/master/csl-citation.json"}</w:instrText>
      </w:r>
      <w:r w:rsidRPr="00BF3C5D">
        <w:rPr>
          <w:rFonts w:ascii="Times New Roman" w:hAnsi="Times New Roman" w:cs="Times New Roman"/>
          <w:sz w:val="24"/>
          <w:szCs w:val="24"/>
        </w:rPr>
        <w:fldChar w:fldCharType="separate"/>
      </w:r>
      <w:r w:rsidRPr="00BF3C5D">
        <w:rPr>
          <w:rFonts w:ascii="Times New Roman" w:hAnsi="Times New Roman" w:cs="Times New Roman"/>
          <w:noProof/>
          <w:sz w:val="24"/>
          <w:szCs w:val="24"/>
          <w:lang w:val="en-US"/>
        </w:rPr>
        <w:t>(Ross</w:t>
      </w:r>
      <w:r w:rsidR="0011164C">
        <w:rPr>
          <w:rFonts w:ascii="Times New Roman" w:hAnsi="Times New Roman" w:cs="Times New Roman"/>
          <w:noProof/>
          <w:sz w:val="24"/>
          <w:szCs w:val="24"/>
          <w:lang w:val="en-US"/>
        </w:rPr>
        <w:t xml:space="preserve"> et al.,</w:t>
      </w:r>
      <w:r w:rsidRPr="00BF3C5D">
        <w:rPr>
          <w:rFonts w:ascii="Times New Roman" w:hAnsi="Times New Roman" w:cs="Times New Roman"/>
          <w:noProof/>
          <w:sz w:val="24"/>
          <w:szCs w:val="24"/>
          <w:lang w:val="en-US"/>
        </w:rPr>
        <w:t xml:space="preserve"> 2007)</w:t>
      </w:r>
      <w:r w:rsidRPr="00BF3C5D">
        <w:rPr>
          <w:rFonts w:ascii="Times New Roman" w:hAnsi="Times New Roman" w:cs="Times New Roman"/>
          <w:sz w:val="24"/>
          <w:szCs w:val="24"/>
        </w:rPr>
        <w:fldChar w:fldCharType="end"/>
      </w:r>
      <w:r w:rsidRPr="00BF3C5D">
        <w:rPr>
          <w:rFonts w:ascii="Times New Roman" w:hAnsi="Times New Roman" w:cs="Times New Roman"/>
          <w:sz w:val="24"/>
          <w:szCs w:val="24"/>
          <w:lang w:val="en-US"/>
        </w:rPr>
        <w:t xml:space="preserve"> in this CM group. Besides, there were signs of blood brain barrier (BBB) disruption with leukocyte and parasitic extravasation to the brain tissue, diffuse microhemorrhages and areas of edema and thrombosis (Figs. 4D-F). No distinctive histopathological differences were observed between the brain sections of the treated and non-treated animals included in the CM group. </w:t>
      </w:r>
    </w:p>
    <w:p w14:paraId="6CF04098" w14:textId="129BF2B7" w:rsidR="0087757B" w:rsidRPr="00BF3C5D" w:rsidRDefault="0087757B" w:rsidP="00BF3C5D">
      <w:pPr>
        <w:spacing w:after="120" w:line="360" w:lineRule="auto"/>
        <w:jc w:val="both"/>
        <w:rPr>
          <w:rFonts w:ascii="Times New Roman" w:hAnsi="Times New Roman" w:cs="Times New Roman"/>
          <w:sz w:val="24"/>
          <w:szCs w:val="24"/>
          <w:lang w:val="en-US"/>
        </w:rPr>
      </w:pPr>
      <w:r w:rsidRPr="00BF3C5D">
        <w:rPr>
          <w:rFonts w:ascii="Times New Roman" w:hAnsi="Times New Roman" w:cs="Times New Roman"/>
          <w:sz w:val="24"/>
          <w:szCs w:val="24"/>
          <w:lang w:val="en-US"/>
        </w:rPr>
        <w:t xml:space="preserve">Mice classified within the NCM group, either SR144528 treated or non-treated, have minimal brain damage with diffuse microhemorrhages but without meningeal involvement (Fig. 5A). No parasite sequestration or clusters of circulating inflammatory cells were identified (Fig. 5B). There </w:t>
      </w:r>
      <w:r w:rsidR="001E6B00">
        <w:rPr>
          <w:rFonts w:ascii="Times New Roman" w:hAnsi="Times New Roman" w:cs="Times New Roman"/>
          <w:sz w:val="24"/>
          <w:szCs w:val="24"/>
          <w:lang w:val="en-US"/>
        </w:rPr>
        <w:t>was</w:t>
      </w:r>
      <w:r w:rsidR="001E6B00" w:rsidRPr="00BF3C5D">
        <w:rPr>
          <w:rFonts w:ascii="Times New Roman" w:hAnsi="Times New Roman" w:cs="Times New Roman"/>
          <w:sz w:val="24"/>
          <w:szCs w:val="24"/>
          <w:lang w:val="en-US"/>
        </w:rPr>
        <w:t xml:space="preserve"> </w:t>
      </w:r>
      <w:r w:rsidR="001E6B00">
        <w:rPr>
          <w:rFonts w:ascii="Times New Roman" w:hAnsi="Times New Roman" w:cs="Times New Roman"/>
          <w:sz w:val="24"/>
          <w:szCs w:val="24"/>
          <w:lang w:val="en-US"/>
        </w:rPr>
        <w:t>no</w:t>
      </w:r>
      <w:r w:rsidR="001E6B00" w:rsidRPr="00BF3C5D">
        <w:rPr>
          <w:rFonts w:ascii="Times New Roman" w:hAnsi="Times New Roman" w:cs="Times New Roman"/>
          <w:sz w:val="24"/>
          <w:szCs w:val="24"/>
          <w:lang w:val="en-US"/>
        </w:rPr>
        <w:t xml:space="preserve"> </w:t>
      </w:r>
      <w:r w:rsidRPr="00BF3C5D">
        <w:rPr>
          <w:rFonts w:ascii="Times New Roman" w:hAnsi="Times New Roman" w:cs="Times New Roman"/>
          <w:sz w:val="24"/>
          <w:szCs w:val="24"/>
          <w:lang w:val="en-US"/>
        </w:rPr>
        <w:t>evidence of disruption of the BBB. As in the previous group, no differences were observed in brain sections between non-treated animals (non-treated mice 2, 3</w:t>
      </w:r>
      <w:r w:rsidR="001E6B00">
        <w:rPr>
          <w:rFonts w:ascii="Times New Roman" w:hAnsi="Times New Roman" w:cs="Times New Roman"/>
          <w:sz w:val="24"/>
          <w:szCs w:val="24"/>
          <w:lang w:val="en-US"/>
        </w:rPr>
        <w:t>,</w:t>
      </w:r>
      <w:r w:rsidRPr="00BF3C5D">
        <w:rPr>
          <w:rFonts w:ascii="Times New Roman" w:hAnsi="Times New Roman" w:cs="Times New Roman"/>
          <w:sz w:val="24"/>
          <w:szCs w:val="24"/>
          <w:lang w:val="en-US"/>
        </w:rPr>
        <w:t xml:space="preserve"> and 4) and treated ones (treated mice 4 and 6) that undergone NCM form upon </w:t>
      </w:r>
      <w:r w:rsidRPr="00BF3C5D">
        <w:rPr>
          <w:rFonts w:ascii="Times New Roman" w:hAnsi="Times New Roman" w:cs="Times New Roman"/>
          <w:i/>
          <w:iCs/>
          <w:sz w:val="24"/>
          <w:szCs w:val="24"/>
          <w:lang w:val="en-US"/>
        </w:rPr>
        <w:t>P. berghei</w:t>
      </w:r>
      <w:r w:rsidRPr="00BF3C5D">
        <w:rPr>
          <w:rFonts w:ascii="Times New Roman" w:hAnsi="Times New Roman" w:cs="Times New Roman"/>
          <w:sz w:val="24"/>
          <w:szCs w:val="24"/>
          <w:lang w:val="en-US"/>
        </w:rPr>
        <w:t xml:space="preserve"> infection. </w:t>
      </w:r>
      <w:bookmarkStart w:id="7" w:name="_Hlk55817282"/>
    </w:p>
    <w:bookmarkEnd w:id="7"/>
    <w:p w14:paraId="6CB6E0EE" w14:textId="566E36A3" w:rsidR="0087757B" w:rsidRPr="00BF3C5D" w:rsidRDefault="0087757B" w:rsidP="00BF3C5D">
      <w:pPr>
        <w:spacing w:after="120" w:line="360" w:lineRule="auto"/>
        <w:jc w:val="both"/>
        <w:rPr>
          <w:rFonts w:ascii="Times New Roman" w:hAnsi="Times New Roman" w:cs="Times New Roman"/>
          <w:bCs/>
          <w:sz w:val="24"/>
          <w:szCs w:val="24"/>
          <w:lang w:val="en-US"/>
        </w:rPr>
      </w:pPr>
      <w:r w:rsidRPr="00BF3C5D">
        <w:rPr>
          <w:rFonts w:ascii="Times New Roman" w:hAnsi="Times New Roman" w:cs="Times New Roman"/>
          <w:sz w:val="24"/>
          <w:szCs w:val="24"/>
          <w:lang w:val="en-US"/>
        </w:rPr>
        <w:t>Mice included in the ‘mixed group’, showed some diffuse microhemorrhages, small infiltrations of inflammatory cells</w:t>
      </w:r>
      <w:r w:rsidR="001E6B00">
        <w:rPr>
          <w:rFonts w:ascii="Times New Roman" w:hAnsi="Times New Roman" w:cs="Times New Roman"/>
          <w:sz w:val="24"/>
          <w:szCs w:val="24"/>
          <w:lang w:val="en-US"/>
        </w:rPr>
        <w:t>,</w:t>
      </w:r>
      <w:r w:rsidRPr="00BF3C5D">
        <w:rPr>
          <w:rFonts w:ascii="Times New Roman" w:hAnsi="Times New Roman" w:cs="Times New Roman"/>
          <w:sz w:val="24"/>
          <w:szCs w:val="24"/>
          <w:lang w:val="en-US"/>
        </w:rPr>
        <w:t xml:space="preserve"> and parasitic sequestration in microvessels (Fig. 6B-D) but with no meningeal involvement (Fig. 6A) or signs of BBB disruption. These observations suggest that the treatment with SR144528 in these mice slowed down brain damage during the infectious process, as also evidenced by both the parasitemia curves (Fig. 3C) and the neurological phenotypes shown. Thus, our results agree with previous studies where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knockout mice (Cnr2</w:t>
      </w:r>
      <w:r w:rsidRPr="00BF3C5D">
        <w:rPr>
          <w:rFonts w:ascii="Times New Roman" w:hAnsi="Times New Roman" w:cs="Times New Roman"/>
          <w:sz w:val="24"/>
          <w:szCs w:val="24"/>
          <w:vertAlign w:val="superscript"/>
          <w:lang w:val="en-US"/>
        </w:rPr>
        <w:t>-</w:t>
      </w:r>
      <w:r w:rsidRPr="00BF3C5D">
        <w:rPr>
          <w:rFonts w:ascii="Times New Roman" w:hAnsi="Times New Roman" w:cs="Times New Roman"/>
          <w:sz w:val="24"/>
          <w:szCs w:val="24"/>
          <w:lang w:val="en-US"/>
        </w:rPr>
        <w:t>/</w:t>
      </w:r>
      <w:r w:rsidRPr="00BF3C5D">
        <w:rPr>
          <w:rFonts w:ascii="Times New Roman" w:hAnsi="Times New Roman" w:cs="Times New Roman"/>
          <w:sz w:val="24"/>
          <w:szCs w:val="24"/>
          <w:vertAlign w:val="superscript"/>
          <w:lang w:val="en-US"/>
        </w:rPr>
        <w:t>-</w:t>
      </w:r>
      <w:r w:rsidRPr="00BF3C5D">
        <w:rPr>
          <w:rFonts w:ascii="Times New Roman" w:hAnsi="Times New Roman" w:cs="Times New Roman"/>
          <w:sz w:val="24"/>
          <w:szCs w:val="24"/>
          <w:lang w:val="en-US"/>
        </w:rPr>
        <w:t xml:space="preserve">) exhibit enhanced survival with reduced parasite load in the brain and a diminished BBB disruption </w:t>
      </w:r>
      <w:r w:rsidRPr="00BF3C5D">
        <w:rPr>
          <w:rFonts w:ascii="Times New Roman" w:hAnsi="Times New Roman" w:cs="Times New Roman"/>
          <w:sz w:val="24"/>
          <w:szCs w:val="24"/>
          <w:lang w:val="en-US"/>
        </w:rPr>
        <w:fldChar w:fldCharType="begin" w:fldLock="1"/>
      </w:r>
      <w:r w:rsidR="003F6C97" w:rsidRPr="00BF3C5D">
        <w:rPr>
          <w:rFonts w:ascii="Times New Roman" w:hAnsi="Times New Roman" w:cs="Times New Roman"/>
          <w:sz w:val="24"/>
          <w:szCs w:val="24"/>
          <w:lang w:val="en-US"/>
        </w:rPr>
        <w:instrText>ADDIN CSL_CITATION {"citationItems":[{"id":"ITEM-1","itemData":{"DOI":"10.1074/jbc.M116.746594","ISBN":"0021-9258","ISSN":"1083351X","PMID":"27474745","abstract":"Cerebral malaria (CM) is a severe and often fatal complication of Plasmodium falciparum infection. It is characterized by parasite sequestration, a breakdown of the blood-brain-barrier and a strong inflammation in the brain. We investigated the role of the cannabinoid receptor 2 (CB2), an important modulator of neuroinflammatory responses, in experimental cerebral malaria (ECM). Strikingly, mice with a deletion of the CB2-encoding gene (Cnr2(-/-)) mice inoculated with Plasmodium berghei ANKA-erythrocytes exhibited enhanced survival and a diminished blood-brain-barrier disruption. Therapeutic application of a specific CB2 antagonist also conferred increased ECM resistance in wild type mice. Hematopoietic-derived immune cells were responsible for the enhanced protection in bone-marrow-chimeric (BM)-Cnr2(-/-) mice. Mixed BM-chimeras further revealed that CB2-expressing cells contributed to ECM development. A heterogeneous CD11b(+) cell population, containing macrophages and neutrophils, expanded in the Cnr2(-/-) spleen after infection and expressed macrophage mannose receptors, arginase-1 activity and IL-10. Also in the Cnr2(-/-) brain CD11b(+) cells that expressed selected anti-inflammatory markers accumulated and expression of inflammatory mediators IFN-γ and TNF-α was reduced. Finally, the M2-macrophage chemokine CCL17 was identified as essential factor for enhanced survival in the absence of CB2, since CCL17 x Cnr2 double-deficient mice were fully susceptible to ECM. Thus, targeting CB2 may be promising for the development of alternative treatment regimes of ECM.","author":[{"dropping-particle":"","family":"Alferink","given":"Judith","non-dropping-particle":"","parse-names":false,"suffix":""},{"dropping-particle":"","family":"Specht","given":"Sabine","non-dropping-particle":"","parse-names":false,"suffix":""},{"dropping-particle":"","family":"Arends","given":"Hannah","non-dropping-particle":"","parse-names":false,"suffix":""},{"dropping-particle":"","family":"Schumak","given":"Beatrix","non-dropping-particle":"","parse-names":false,"suffix":""},{"dropping-particle":"","family":"Schmidt","given":"Kim","non-dropping-particle":"","parse-names":false,"suffix":""},{"dropping-particle":"","family":"Ruland","given":"Christina","non-dropping-particle":"","parse-names":false,"suffix":""},{"dropping-particle":"","family":"Lundt","given":"Ramona","non-dropping-particle":"","parse-names":false,"suffix":""},{"dropping-particle":"","family":"Kemter","given":"Andrea","non-dropping-particle":"","parse-names":false,"suffix":""},{"dropping-particle":"","family":"Dlugos","given":"Andrea","non-dropping-particle":"","parse-names":false,"suffix":""},{"dropping-particle":"","family":"Kuepper","given":"Janina M","non-dropping-particle":"","parse-names":false,"suffix":""},{"dropping-particle":"","family":"Poppensieker","given":"Karola","non-dropping-particle":"","parse-names":false,"suffix":""},{"dropping-particle":"","family":"Findeiss","given":"Matthias","non-dropping-particle":"","parse-names":false,"suffix":""},{"dropping-particle":"","family":"Albayram","given":"Nder","non-dropping-particle":"","parse-names":false,"suffix":""},{"dropping-particle":"","family":"Otte","given":"David M","non-dropping-particle":"","parse-names":false,"suffix":""},{"dropping-particle":"","family":"Marazzi","given":"Janine","non-dropping-particle":"","parse-names":false,"suffix":""},{"dropping-particle":"","family":"Gertsch","given":"Jürg","non-dropping-particle":"","parse-names":false,"suffix":""},{"dropping-particle":"","family":"Förster","given":"Irmgard","non-dropping-particle":"","parse-names":false,"suffix":""},{"dropping-particle":"","family":"Maier","given":"Wolfgang","non-dropping-particle":"","parse-names":false,"suffix":""},{"dropping-particle":"","family":"Scheu","given":"Stefanie","non-dropping-particle":"","parse-names":false,"suffix":""},{"dropping-particle":"","family":"Hoerauf","given":"Achim","non-dropping-particle":"","parse-names":false,"suffix":""},{"dropping-particle":"","family":"Zimmer","given":"Andreas","non-dropping-particle":"","parse-names":false,"suffix":""}],"container-title":"Journal of Biological Chemistry","id":"ITEM-1","issue":"37","issued":{"date-parts":[["2016"]]},"page":"19517-19531","title":"Cannabinoid receptor 2 modulates susceptibility to experimental cerebral malaria through a CCL17-dependent Mechanism","type":"article-journal","volume":"291"},"uris":["http://www.mendeley.com/documents/?uuid=30adfc34-bd73-3837-9100-641dab63a795"]}],"mendeley":{"formattedCitation":"(Alferink et al., 2016)","plainTextFormattedCitation":"(Alferink et al., 2016)","previouslyFormattedCitation":"(Alferink et al., 2016)"},"properties":{"noteIndex":0},"schema":"https://github.com/citation-style-language/schema/raw/master/csl-citation.json"}</w:instrText>
      </w:r>
      <w:r w:rsidRPr="00BF3C5D">
        <w:rPr>
          <w:rFonts w:ascii="Times New Roman" w:hAnsi="Times New Roman" w:cs="Times New Roman"/>
          <w:sz w:val="24"/>
          <w:szCs w:val="24"/>
          <w:lang w:val="en-US"/>
        </w:rPr>
        <w:fldChar w:fldCharType="separate"/>
      </w:r>
      <w:r w:rsidRPr="00BF3C5D">
        <w:rPr>
          <w:rFonts w:ascii="Times New Roman" w:hAnsi="Times New Roman" w:cs="Times New Roman"/>
          <w:noProof/>
          <w:sz w:val="24"/>
          <w:szCs w:val="24"/>
          <w:lang w:val="en-US"/>
        </w:rPr>
        <w:t>(Alferink et al., 2016)</w:t>
      </w:r>
      <w:r w:rsidRPr="00BF3C5D">
        <w:rPr>
          <w:rFonts w:ascii="Times New Roman" w:hAnsi="Times New Roman" w:cs="Times New Roman"/>
          <w:sz w:val="24"/>
          <w:szCs w:val="24"/>
          <w:lang w:val="en-US"/>
        </w:rPr>
        <w:fldChar w:fldCharType="end"/>
      </w:r>
      <w:r w:rsidRPr="00BF3C5D">
        <w:rPr>
          <w:rFonts w:ascii="Times New Roman" w:hAnsi="Times New Roman" w:cs="Times New Roman"/>
          <w:sz w:val="24"/>
          <w:szCs w:val="24"/>
          <w:lang w:val="en-US"/>
        </w:rPr>
        <w:t>. SR144528 treatment in these two mice resulted in an increase in their survival time, reaching day up to day</w:t>
      </w:r>
      <w:r w:rsidR="001E6B00">
        <w:rPr>
          <w:rFonts w:ascii="Times New Roman" w:hAnsi="Times New Roman" w:cs="Times New Roman"/>
          <w:sz w:val="24"/>
          <w:szCs w:val="24"/>
          <w:lang w:val="en-US"/>
        </w:rPr>
        <w:t xml:space="preserve"> </w:t>
      </w:r>
      <w:r w:rsidRPr="00BF3C5D">
        <w:rPr>
          <w:rFonts w:ascii="Times New Roman" w:hAnsi="Times New Roman" w:cs="Times New Roman"/>
          <w:sz w:val="24"/>
          <w:szCs w:val="24"/>
          <w:lang w:val="en-US"/>
        </w:rPr>
        <w:t>20 post-infection. However, the compound did not show an antimalarial effect sufficient to eliminate circulating parasites, since parasitemia increased again (Fig. 3C) from day</w:t>
      </w:r>
      <w:r w:rsidR="001E6B00">
        <w:rPr>
          <w:rFonts w:ascii="Times New Roman" w:hAnsi="Times New Roman" w:cs="Times New Roman"/>
          <w:sz w:val="24"/>
          <w:szCs w:val="24"/>
          <w:lang w:val="en-US"/>
        </w:rPr>
        <w:t xml:space="preserve"> </w:t>
      </w:r>
      <w:r w:rsidRPr="00BF3C5D">
        <w:rPr>
          <w:rFonts w:ascii="Times New Roman" w:hAnsi="Times New Roman" w:cs="Times New Roman"/>
          <w:sz w:val="24"/>
          <w:szCs w:val="24"/>
          <w:lang w:val="en-US"/>
        </w:rPr>
        <w:t xml:space="preserve">10 onwards with no neurological manifestations, but to finally cause death by hyperparasitemia and severe anemia. </w:t>
      </w:r>
    </w:p>
    <w:p w14:paraId="319069C1" w14:textId="42C22A81" w:rsidR="0087757B" w:rsidRPr="00C52E77" w:rsidRDefault="0087757B" w:rsidP="00BF3C5D">
      <w:pPr>
        <w:spacing w:after="120" w:line="360" w:lineRule="auto"/>
        <w:jc w:val="both"/>
        <w:rPr>
          <w:rFonts w:ascii="Times New Roman" w:hAnsi="Times New Roman" w:cs="Times New Roman"/>
          <w:sz w:val="24"/>
          <w:szCs w:val="24"/>
          <w:lang w:val="en-US"/>
        </w:rPr>
      </w:pPr>
      <w:bookmarkStart w:id="8" w:name="_Hlk98343389"/>
      <w:r w:rsidRPr="00984C6E">
        <w:rPr>
          <w:rFonts w:ascii="Times New Roman" w:hAnsi="Times New Roman" w:cs="Times New Roman"/>
          <w:bCs/>
          <w:sz w:val="24"/>
          <w:szCs w:val="24"/>
          <w:lang w:val="en-US"/>
        </w:rPr>
        <w:t>Due to the low number of animals, the experimental model is inconclusive and, therefore, our initial hypothesis could not be validated. However, these partial results suggest that CM severity could be modulated by the pharmacological blockade of the CB</w:t>
      </w:r>
      <w:r w:rsidRPr="00984C6E">
        <w:rPr>
          <w:rFonts w:ascii="Times New Roman" w:hAnsi="Times New Roman" w:cs="Times New Roman"/>
          <w:bCs/>
          <w:sz w:val="24"/>
          <w:szCs w:val="24"/>
          <w:vertAlign w:val="subscript"/>
          <w:lang w:val="en-US"/>
        </w:rPr>
        <w:t>2</w:t>
      </w:r>
      <w:r w:rsidRPr="00984C6E">
        <w:rPr>
          <w:rFonts w:ascii="Times New Roman" w:hAnsi="Times New Roman" w:cs="Times New Roman"/>
          <w:bCs/>
          <w:sz w:val="24"/>
          <w:szCs w:val="24"/>
          <w:lang w:val="en-US"/>
        </w:rPr>
        <w:t xml:space="preserve"> receptors. In addition, other factors might be involved in the further disease evolution. </w:t>
      </w:r>
      <w:bookmarkEnd w:id="8"/>
      <w:r w:rsidRPr="00984C6E">
        <w:rPr>
          <w:rFonts w:ascii="Times New Roman" w:hAnsi="Times New Roman" w:cs="Times New Roman"/>
          <w:sz w:val="24"/>
          <w:szCs w:val="24"/>
          <w:lang w:val="en-US"/>
        </w:rPr>
        <w:t>In</w:t>
      </w:r>
      <w:r w:rsidRPr="00BF3C5D">
        <w:rPr>
          <w:rFonts w:ascii="Times New Roman" w:hAnsi="Times New Roman" w:cs="Times New Roman"/>
          <w:sz w:val="24"/>
          <w:szCs w:val="24"/>
          <w:lang w:val="en-US"/>
        </w:rPr>
        <w:t xml:space="preserve"> the first instance, activation of the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 has been associated with a decrease of exacerbated inflammation in several pathologies </w:t>
      </w:r>
      <w:r w:rsidRPr="00BF3C5D">
        <w:rPr>
          <w:rFonts w:ascii="Times New Roman" w:hAnsi="Times New Roman" w:cs="Times New Roman"/>
          <w:sz w:val="24"/>
          <w:szCs w:val="24"/>
          <w:lang w:val="en-US"/>
        </w:rPr>
        <w:fldChar w:fldCharType="begin" w:fldLock="1"/>
      </w:r>
      <w:r w:rsidR="003F6C97" w:rsidRPr="00BF3C5D">
        <w:rPr>
          <w:rFonts w:ascii="Times New Roman" w:hAnsi="Times New Roman" w:cs="Times New Roman"/>
          <w:sz w:val="24"/>
          <w:szCs w:val="24"/>
          <w:lang w:val="en-US"/>
        </w:rPr>
        <w:instrText>ADDIN CSL_CITATION {"citationItems":[{"id":"ITEM-1","itemData":{"DOI":"10.1021/acs.jmedchem.6b00397","ISSN":"1520-4804","PMID":"27309150","abstract":"A combination of molecular modeling and structure-activity relationship studies has been used to fine-tune CB2 selectivity in the chromenopyrazole ring, a versatile CB1/CB2 cannabinoid scaffold. Thus, a series of 36 new derivatives covering a wide range of structural diversity has been synthesized, and docking studies have been performed for some of them. Biological evaluation of the new compounds includes, among others, cannabinoid binding assays, functional studies, and surface plasmon resonance measurements. The most promising compound [43 (PM226)], a selective and potent CB2 agonist isoxazole derivative, was tested in the acute phase of Theiler's murine encephalomyelitis virus-induced demyelinating disease (TMEV-IDD), a well-established animal model of primary progressive multiple sclerosis. Compound 43 dampened neuroinflammation by reducing microglial activation in the TMEV.","author":[{"dropping-particle":"","family":"Morales","given":"Paula","non-dropping-particle":"","parse-names":false,"suffix":""},{"dropping-particle":"","family":"Gómez-Cañas","given":"María","non-dropping-particle":"","parse-names":false,"suffix":""},{"dropping-particle":"","family":"Navarro","given":"Gemma","non-dropping-particle":"","parse-names":false,"suffix":""},{"dropping-particle":"","family":"Hurst","given":"Dow P","non-dropping-particle":"","parse-names":false,"suffix":""},{"dropping-particle":"","family":"Carrillo-Salinas","given":"Francisco J","non-dropping-particle":"","parse-names":false,"suffix":""},{"dropping-particle":"","family":"Lagartera","given":"Laura","non-dropping-particle":"","parse-names":false,"suffix":""},{"dropping-particle":"","family":"Pazos","given":"Ruth","non-dropping-particle":"","parse-names":false,"suffix":""},{"dropping-particle":"","family":"Goya","given":"Pilar","non-dropping-particle":"","parse-names":false,"suffix":""},{"dropping-particle":"","family":"Reggio","given":"Patricia H","non-dropping-particle":"","parse-names":false,"suffix":""},{"dropping-particle":"","family":"Guaza","given":"Carmen","non-dropping-particle":"","parse-names":false,"suffix":""},{"dropping-particle":"","family":"Franco","given":"Rafael","non-dropping-particle":"","parse-names":false,"suffix":""},{"dropping-particle":"","family":"Fernández-Ruiz","given":"Javier","non-dropping-particle":"","parse-names":false,"suffix":""},{"dropping-particle":"","family":"Jagerovic","given":"Nadine","non-dropping-particle":"","parse-names":false,"suffix":""}],"container-title":"Journal of medicinal chemistry","id":"ITEM-1","issue":"14","issued":{"date-parts":[["2016"]]},"page":"6753-6771","title":"Chromenopyrazole, a Versatile Cannabinoid Scaffold with in Vivo Activity in a Model of Multiple Sclerosis.","type":"article-journal","volume":"59"},"uris":["http://www.mendeley.com/documents/?uuid=61dcb980-785e-31ce-a731-8d83aab7215e"]},{"id":"ITEM-2","itemData":{"DOI":"10.1007/s00018-016-2300-4","ISSN":"1420-9071","PMID":"27402121","abstract":"The CB2 receptor is the peripheral receptor for cannabinoids. It is mainly expressed in immune tissues, highlighting the possibility that the endocannabinoid system has an immunomodulatory role. In this respect, the CB2 receptor was shown to modulate immune cell functions, both in cellulo and in animal models of inflammatory diseases. In this regard, numerous studies have reported that mice lacking the CB2 receptor have an exacerbated inflammatory phenotype. This suggests that therapeutic strategies aiming at modulating CB2 signaling could be promising for the treatment of various inflammatory conditions. Herein, we review the pharmacology of the CB2 receptor, its expression pattern, and the signaling pathways induced by its activation. We next examine the regulation of immune cell functions by the CB2 receptor and the evidence obtained from primary human cells, immortalized cell lines, and animal models of inflammation. Finally, we discuss the possible therapies targeting the CB2 receptor and the questions that remain to be addressed to determine whether this receptor could be a potential target to treat inflammatory disease.","author":[{"dropping-particle":"","family":"Turcotte","given":"Caroline","non-dropping-particle":"","parse-names":false,"suffix":""},{"dropping-particle":"","family":"Blanchet","given":"Marie-Renée","non-dropping-particle":"","parse-names":false,"suffix":""},{"dropping-particle":"","family":"Laviolette","given":"Michel","non-dropping-particle":"","parse-names":false,"suffix":""},{"dropping-particle":"","family":"Flamand","given":"Nicolas","non-dropping-particle":"","parse-names":false,"suffix":""}],"container-title":"Cellular and molecular life sciences : CMLS","id":"ITEM-2","issue":"23","issued":{"date-parts":[["2016"]]},"page":"4449-4470","publisher":"Springer","title":"The CB2 receptor and its role as a regulator of inflammation.","type":"article-journal","volume":"73"},"uris":["http://www.mendeley.com/documents/?uuid=6fe95175-f747-33b0-8aec-d3fc81e6b9a9"]},{"id":"ITEM-3","itemData":{"DOI":"10.1016/j.tips.2006.11.001","author":[{"dropping-particle":"","family":"Fernández-Ruiz","given":"Javier","non-dropping-particle":"","parse-names":false,"suffix":""},{"dropping-particle":"","family":"Romero","given":"Julián","non-dropping-particle":"","parse-names":false,"suffix":""},{"dropping-particle":"","family":"Velasco","given":"Guillermo","non-dropping-particle":"","parse-names":false,"suffix":""},{"dropping-particle":"","family":"Tolón","given":"Rosa M.","non-dropping-particle":"","parse-names":false,"suffix":""},{"dropping-particle":"","family":"Ramos","given":"JA","non-dropping-particle":"","parse-names":false,"suffix":""},{"dropping-particle":"","family":"Guzmán","given":"Manuel","non-dropping-particle":"","parse-names":false,"suffix":""}],"id":"ITEM-3","issue":"1","issued":{"date-parts":[["2006"]]},"title":"Cannabinoid CB 2 receptor : a new target for controlling neural cell survival ?","type":"article-journal","volume":"28"},"uris":["http://www.mendeley.com/documents/?uuid=db816de1-1443-4eb4-a7c6-640cb457572d"]},{"id":"ITEM-4","itemData":{"DOI":"10.1007/978-3-319-20825-1_8","ISBN":"9783319208251","ISSN":"0171-2004","PMID":"26408163","abstract":"This review focuses on the role of the endocannabinoid signaling system in controlling neuronal survival, an extremely important issue to be considered when developing new therapies for neurodegenerative disorders. First, we will describe the cellular and molecular mechanisms, and the signaling pathways, underlying these neuroprotective properties, including the control of glutamate homeostasis, calcium influx, the toxicity of reactive oxygen species, glial activation and other inflammatory events; and the induction of autophagy. We will then concentrate on the preclinical studies and the few clinical trials that have been carried out targeting endocannabinoid signaling in three important chronic progressive neurodegenerative disorders (Parkinson's disease, Huntington's chorea, and Alzheimer's disease), as well as in other less well-studied disorders. We will end by offering some ideas and proposals for future research that should be carried out to optimize endocannabinoid-based treatments for these disorders. Such studies will strengthen the possibility that these therapies will be investigated in the clinical scenario and licensed for their use in specific disorders.","author":[{"dropping-particle":"","family":"Fernández-Ruiz","given":"Javier","non-dropping-particle":"","parse-names":false,"suffix":""},{"dropping-particle":"","family":"Romero","given":"Julián","non-dropping-particle":"","parse-names":false,"suffix":""},{"dropping-particle":"","family":"Ramos","given":"José A","non-dropping-particle":"","parse-names":false,"suffix":""}],"container-title":"Endocannabinoids","id":"ITEM-4","issued":{"date-parts":[["2015"]]},"page":"233-259","title":"Endocannabinoids and neurodegenerative disorders: Parkinson's disease, huntington's chorea, alzheimer's disease, and others","type":"chapter","volume":"231"},"uris":["http://www.mendeley.com/documents/?uuid=9a23a7b1-ce97-35f4-a1ae-80c329c42cfc"]}],"mendeley":{"formattedCitation":"(Fernández-Ruiz et al., 2015, 2006; Morales et al., 2016; Turcotte, Blanchet, Laviolette, &amp; Flamand, 2016)","plainTextFormattedCitation":"(Fernández-Ruiz et al., 2015, 2006; Morales et al., 2016; Turcotte, Blanchet, Laviolette, &amp; Flamand, 2016)","previouslyFormattedCitation":"(Fernández-Ruiz et al., 2015, 2006; Morales et al., 2016; Turcotte, Blanchet, Laviolette, &amp; Flamand, 2016)"},"properties":{"noteIndex":0},"schema":"https://github.com/citation-style-language/schema/raw/master/csl-citation.json"}</w:instrText>
      </w:r>
      <w:r w:rsidRPr="00BF3C5D">
        <w:rPr>
          <w:rFonts w:ascii="Times New Roman" w:hAnsi="Times New Roman" w:cs="Times New Roman"/>
          <w:sz w:val="24"/>
          <w:szCs w:val="24"/>
          <w:lang w:val="en-US"/>
        </w:rPr>
        <w:fldChar w:fldCharType="separate"/>
      </w:r>
      <w:r w:rsidRPr="00BF3C5D">
        <w:rPr>
          <w:rFonts w:ascii="Times New Roman" w:hAnsi="Times New Roman" w:cs="Times New Roman"/>
          <w:noProof/>
          <w:sz w:val="24"/>
          <w:szCs w:val="24"/>
          <w:lang w:val="en-US"/>
        </w:rPr>
        <w:t>(Fernández-Ruiz et al., 2015, 2006; Morales et al., 2016; Turcotte</w:t>
      </w:r>
      <w:r w:rsidR="001E6B00">
        <w:rPr>
          <w:rFonts w:ascii="Times New Roman" w:hAnsi="Times New Roman" w:cs="Times New Roman"/>
          <w:noProof/>
          <w:sz w:val="24"/>
          <w:szCs w:val="24"/>
          <w:lang w:val="en-US"/>
        </w:rPr>
        <w:t xml:space="preserve"> et al.</w:t>
      </w:r>
      <w:r w:rsidRPr="00BF3C5D">
        <w:rPr>
          <w:rFonts w:ascii="Times New Roman" w:hAnsi="Times New Roman" w:cs="Times New Roman"/>
          <w:noProof/>
          <w:sz w:val="24"/>
          <w:szCs w:val="24"/>
          <w:lang w:val="en-US"/>
        </w:rPr>
        <w:t>, 2016)</w:t>
      </w:r>
      <w:r w:rsidRPr="00BF3C5D">
        <w:rPr>
          <w:rFonts w:ascii="Times New Roman" w:hAnsi="Times New Roman" w:cs="Times New Roman"/>
          <w:sz w:val="24"/>
          <w:szCs w:val="24"/>
          <w:lang w:val="en-US"/>
        </w:rPr>
        <w:fldChar w:fldCharType="end"/>
      </w:r>
      <w:r w:rsidRPr="00BF3C5D">
        <w:rPr>
          <w:rFonts w:ascii="Times New Roman" w:hAnsi="Times New Roman" w:cs="Times New Roman"/>
          <w:sz w:val="24"/>
          <w:szCs w:val="24"/>
          <w:lang w:val="en-US"/>
        </w:rPr>
        <w:t xml:space="preserve">, in other studies it has been demonstrated that </w:t>
      </w:r>
      <w:r w:rsidRPr="00BF3C5D">
        <w:rPr>
          <w:rFonts w:ascii="Times New Roman" w:hAnsi="Times New Roman" w:cs="Times New Roman"/>
          <w:sz w:val="24"/>
          <w:szCs w:val="24"/>
          <w:lang w:val="en-US"/>
        </w:rPr>
        <w:lastRenderedPageBreak/>
        <w:t xml:space="preserve">this receptor could also contribute to tissue damage </w:t>
      </w:r>
      <w:r w:rsidRPr="00BF3C5D">
        <w:rPr>
          <w:rFonts w:ascii="Times New Roman" w:eastAsiaTheme="minorHAnsi" w:hAnsi="Times New Roman" w:cs="Times New Roman"/>
          <w:sz w:val="24"/>
          <w:szCs w:val="24"/>
          <w:lang w:eastAsia="en-US" w:bidi="ar-SA"/>
        </w:rPr>
        <w:fldChar w:fldCharType="begin" w:fldLock="1"/>
      </w:r>
      <w:r w:rsidR="003F6C97" w:rsidRPr="00BF3C5D">
        <w:rPr>
          <w:rFonts w:ascii="Times New Roman" w:eastAsiaTheme="minorHAnsi" w:hAnsi="Times New Roman" w:cs="Times New Roman"/>
          <w:sz w:val="24"/>
          <w:szCs w:val="24"/>
          <w:lang w:val="en-US" w:eastAsia="en-US" w:bidi="ar-SA"/>
        </w:rPr>
        <w:instrText>ADDIN CSL_CITATION {"citationItems":[{"id":"ITEM-1","itemData":{"DOI":"10.1016/j.plipres.2011.01.001","ISSN":"1873-2194","PMID":"21295074","abstract":"The mammalian body has a highly developed immune system which guards against continuous invading protein attacks and aims at preventing, attenuating or repairing the inflicted damage. It is conceivable that through evolution analogous biological protective systems have been evolved against non-protein attacks. There is emerging evidence that lipid endocannabinoid signaling through cannabinoid 2 (CB₂) receptors may represent an example/part of such a protective system/armamentarium. Inflammation/tissue injury triggers rapid elevations in local endocannabinoid levels, which in turn regulate signaling responses in immune and other cells modulating their critical functions. Changes in endocannabinoid levels and/or CB₂ receptor expressions have been reported in almost all diseases affecting humans, ranging from cardiovascular, gastrointestinal, liver, kidney, neurodegenerative, psychiatric, bone, skin, autoimmune, lung disorders to pain and cancer, and modulating CB₂ receptor activity holds tremendous therapeutic potential in these pathologies. While CB₂ receptor activation in general mediates immunosuppressive effects, which limit inflammation and associated tissue injury in large number of pathological conditions, in some disease states activation of the CB₂ receptor may enhance or even trigger tissue damage, which will also be discussed alongside the protective actions of the CB₂ receptor stimulation with endocannabinoids or synthetic agonists, and the possible biological mechanisms involved in these effects.","author":[{"dropping-particle":"","family":"Pacher","given":"P","non-dropping-particle":"","parse-names":false,"suffix":""},{"dropping-particle":"","family":"Mechoulam","given":"R","non-dropping-particle":"","parse-names":false,"suffix":""}],"container-title":"Progress in lipid research","id":"ITEM-1","issue":"2","issued":{"date-parts":[["2011","4"]]},"page":"193-211","publisher":"NIH Public Access","title":"Is lipid signaling through cannabinoid 2 receptors part of a protective system?","type":"article-journal","volume":"50"},"uris":["http://www.mendeley.com/documents/?uuid=38413c7a-d4a2-3b80-9ef7-f9dd8f1843f9"]}],"mendeley":{"formattedCitation":"(Pacher &amp; Mechoulam, 2011)","plainTextFormattedCitation":"(Pacher &amp; Mechoulam, 2011)","previouslyFormattedCitation":"(Pacher &amp; Mechoulam, 2011)"},"properties":{"noteIndex":0},"schema":"https://github.com/citation-style-language/schema/raw/master/csl-citation.json"}</w:instrText>
      </w:r>
      <w:r w:rsidRPr="00BF3C5D">
        <w:rPr>
          <w:rFonts w:ascii="Times New Roman" w:eastAsiaTheme="minorHAnsi" w:hAnsi="Times New Roman" w:cs="Times New Roman"/>
          <w:sz w:val="24"/>
          <w:szCs w:val="24"/>
          <w:lang w:eastAsia="en-US" w:bidi="ar-SA"/>
        </w:rPr>
        <w:fldChar w:fldCharType="separate"/>
      </w:r>
      <w:r w:rsidRPr="00BF3C5D">
        <w:rPr>
          <w:rFonts w:ascii="Times New Roman" w:eastAsiaTheme="minorHAnsi" w:hAnsi="Times New Roman" w:cs="Times New Roman"/>
          <w:noProof/>
          <w:sz w:val="24"/>
          <w:szCs w:val="24"/>
          <w:lang w:val="en-US" w:eastAsia="en-US" w:bidi="ar-SA"/>
        </w:rPr>
        <w:t>(Pacher &amp; Mechoulam, 2011)</w:t>
      </w:r>
      <w:r w:rsidRPr="00BF3C5D">
        <w:rPr>
          <w:rFonts w:ascii="Times New Roman" w:eastAsiaTheme="minorHAnsi" w:hAnsi="Times New Roman" w:cs="Times New Roman"/>
          <w:sz w:val="24"/>
          <w:szCs w:val="24"/>
          <w:lang w:eastAsia="en-US" w:bidi="ar-SA"/>
        </w:rPr>
        <w:fldChar w:fldCharType="end"/>
      </w:r>
      <w:r w:rsidRPr="00BF3C5D">
        <w:rPr>
          <w:rFonts w:ascii="Times New Roman" w:eastAsiaTheme="minorHAnsi" w:hAnsi="Times New Roman" w:cs="Times New Roman"/>
          <w:sz w:val="24"/>
          <w:szCs w:val="24"/>
          <w:lang w:val="en-US" w:eastAsia="en-US" w:bidi="ar-SA"/>
        </w:rPr>
        <w:t>. Different reports have postulated that modulation of the endocannabinoid signaling through the CB</w:t>
      </w:r>
      <w:r w:rsidRPr="00BF3C5D">
        <w:rPr>
          <w:rFonts w:ascii="Times New Roman" w:eastAsiaTheme="minorHAnsi" w:hAnsi="Times New Roman" w:cs="Times New Roman"/>
          <w:sz w:val="24"/>
          <w:szCs w:val="24"/>
          <w:vertAlign w:val="subscript"/>
          <w:lang w:val="en-US" w:eastAsia="en-US" w:bidi="ar-SA"/>
        </w:rPr>
        <w:t>2</w:t>
      </w:r>
      <w:r w:rsidRPr="00BF3C5D">
        <w:rPr>
          <w:rFonts w:ascii="Times New Roman" w:eastAsiaTheme="minorHAnsi" w:hAnsi="Times New Roman" w:cs="Times New Roman"/>
          <w:sz w:val="24"/>
          <w:szCs w:val="24"/>
          <w:lang w:val="en-US" w:eastAsia="en-US" w:bidi="ar-SA"/>
        </w:rPr>
        <w:t xml:space="preserve"> receptor, both by agonists and inverse agonists/antagonists, could have a relevant therapeutic potential in a large number of diseases by reducing the inflammatory and chemotactic response and attenuating the endothelial activation and cell adhesion </w:t>
      </w:r>
      <w:r w:rsidRPr="00BF3C5D">
        <w:rPr>
          <w:rFonts w:ascii="Times New Roman" w:eastAsiaTheme="minorHAnsi" w:hAnsi="Times New Roman" w:cs="Times New Roman"/>
          <w:sz w:val="24"/>
          <w:szCs w:val="24"/>
          <w:lang w:val="en-US" w:eastAsia="en-US" w:bidi="ar-SA"/>
        </w:rPr>
        <w:fldChar w:fldCharType="begin" w:fldLock="1"/>
      </w:r>
      <w:r w:rsidR="003F6C97" w:rsidRPr="00BF3C5D">
        <w:rPr>
          <w:rFonts w:ascii="Times New Roman" w:eastAsiaTheme="minorHAnsi" w:hAnsi="Times New Roman" w:cs="Times New Roman"/>
          <w:sz w:val="24"/>
          <w:szCs w:val="24"/>
          <w:lang w:val="en-US" w:eastAsia="en-US" w:bidi="ar-SA"/>
        </w:rPr>
        <w:instrText>ADDIN CSL_CITATION {"citationItems":[{"id":"ITEM-1","itemData":{"DOI":"10.1016/j.plipres.2011.01.001","ISSN":"1873-2194","PMID":"21295074","abstract":"The mammalian body has a highly developed immune system which guards against continuous invading protein attacks and aims at preventing, attenuating or repairing the inflicted damage. It is conceivable that through evolution analogous biological protective systems have been evolved against non-protein attacks. There is emerging evidence that lipid endocannabinoid signaling through cannabinoid 2 (CB₂) receptors may represent an example/part of such a protective system/armamentarium. Inflammation/tissue injury triggers rapid elevations in local endocannabinoid levels, which in turn regulate signaling responses in immune and other cells modulating their critical functions. Changes in endocannabinoid levels and/or CB₂ receptor expressions have been reported in almost all diseases affecting humans, ranging from cardiovascular, gastrointestinal, liver, kidney, neurodegenerative, psychiatric, bone, skin, autoimmune, lung disorders to pain and cancer, and modulating CB₂ receptor activity holds tremendous therapeutic potential in these pathologies. While CB₂ receptor activation in general mediates immunosuppressive effects, which limit inflammation and associated tissue injury in large number of pathological conditions, in some disease states activation of the CB₂ receptor may enhance or even trigger tissue damage, which will also be discussed alongside the protective actions of the CB₂ receptor stimulation with endocannabinoids or synthetic agonists, and the possible biological mechanisms involved in these effects.","author":[{"dropping-particle":"","family":"Pacher","given":"P","non-dropping-particle":"","parse-names":false,"suffix":""},{"dropping-particle":"","family":"Mechoulam","given":"R","non-dropping-particle":"","parse-names":false,"suffix":""}],"container-title":"Progress in lipid research","id":"ITEM-1","issue":"2","issued":{"date-parts":[["2011","4"]]},"page":"193-211","publisher":"NIH Public Access","title":"Is lipid signaling through cannabinoid 2 receptors part of a protective system?","type":"article-journal","volume":"50"},"uris":["http://www.mendeley.com/documents/?uuid=38413c7a-d4a2-3b80-9ef7-f9dd8f1843f9"]}],"mendeley":{"formattedCitation":"(Pacher &amp; Mechoulam, 2011)","plainTextFormattedCitation":"(Pacher &amp; Mechoulam, 2011)","previouslyFormattedCitation":"(Pacher &amp; Mechoulam, 2011)"},"properties":{"noteIndex":0},"schema":"https://github.com/citation-style-language/schema/raw/master/csl-citation.json"}</w:instrText>
      </w:r>
      <w:r w:rsidRPr="00BF3C5D">
        <w:rPr>
          <w:rFonts w:ascii="Times New Roman" w:eastAsiaTheme="minorHAnsi" w:hAnsi="Times New Roman" w:cs="Times New Roman"/>
          <w:sz w:val="24"/>
          <w:szCs w:val="24"/>
          <w:lang w:val="en-US" w:eastAsia="en-US" w:bidi="ar-SA"/>
        </w:rPr>
        <w:fldChar w:fldCharType="separate"/>
      </w:r>
      <w:r w:rsidRPr="00BF3C5D">
        <w:rPr>
          <w:rFonts w:ascii="Times New Roman" w:eastAsiaTheme="minorHAnsi" w:hAnsi="Times New Roman" w:cs="Times New Roman"/>
          <w:noProof/>
          <w:sz w:val="24"/>
          <w:szCs w:val="24"/>
          <w:lang w:val="en-US" w:eastAsia="en-US" w:bidi="ar-SA"/>
        </w:rPr>
        <w:t>(Pacher &amp; Mechoulam, 2011)</w:t>
      </w:r>
      <w:r w:rsidRPr="00BF3C5D">
        <w:rPr>
          <w:rFonts w:ascii="Times New Roman" w:eastAsiaTheme="minorHAnsi" w:hAnsi="Times New Roman" w:cs="Times New Roman"/>
          <w:sz w:val="24"/>
          <w:szCs w:val="24"/>
          <w:lang w:val="en-US" w:eastAsia="en-US" w:bidi="ar-SA"/>
        </w:rPr>
        <w:fldChar w:fldCharType="end"/>
      </w:r>
      <w:r w:rsidRPr="00BF3C5D">
        <w:rPr>
          <w:rFonts w:ascii="Times New Roman" w:eastAsiaTheme="minorHAnsi" w:hAnsi="Times New Roman" w:cs="Times New Roman"/>
          <w:sz w:val="24"/>
          <w:szCs w:val="24"/>
          <w:lang w:val="en-US" w:eastAsia="en-US" w:bidi="ar-SA"/>
        </w:rPr>
        <w:t>. Regarding CM, in addition to the presumable anti-inflammatory activity that might counteract the exacerbated inflammation of this brain process, inhibition of the CB2 receptor by the SR144528 antagonist could also contribute to the maintenance of the integrity of the BBB. In fact, activation of CB</w:t>
      </w:r>
      <w:r w:rsidRPr="00BF3C5D">
        <w:rPr>
          <w:rFonts w:ascii="Times New Roman" w:eastAsiaTheme="minorHAnsi" w:hAnsi="Times New Roman" w:cs="Times New Roman"/>
          <w:sz w:val="24"/>
          <w:szCs w:val="24"/>
          <w:vertAlign w:val="subscript"/>
          <w:lang w:val="en-US" w:eastAsia="en-US" w:bidi="ar-SA"/>
        </w:rPr>
        <w:t>2</w:t>
      </w:r>
      <w:r w:rsidRPr="00BF3C5D">
        <w:rPr>
          <w:rFonts w:ascii="Times New Roman" w:eastAsiaTheme="minorHAnsi" w:hAnsi="Times New Roman" w:cs="Times New Roman"/>
          <w:sz w:val="24"/>
          <w:szCs w:val="24"/>
          <w:lang w:val="en-US" w:eastAsia="en-US" w:bidi="ar-SA"/>
        </w:rPr>
        <w:t xml:space="preserve"> receptor triggers </w:t>
      </w:r>
      <w:r w:rsidR="00141866">
        <w:rPr>
          <w:rFonts w:ascii="Times New Roman" w:eastAsiaTheme="minorHAnsi" w:hAnsi="Times New Roman" w:cs="Times New Roman"/>
          <w:sz w:val="24"/>
          <w:szCs w:val="24"/>
          <w:lang w:val="en-US" w:eastAsia="en-US" w:bidi="ar-SA"/>
        </w:rPr>
        <w:t>(</w:t>
      </w:r>
      <w:r w:rsidRPr="00BF3C5D">
        <w:rPr>
          <w:rFonts w:ascii="Times New Roman" w:eastAsiaTheme="minorHAnsi" w:hAnsi="Times New Roman" w:cs="Times New Roman"/>
          <w:sz w:val="24"/>
          <w:szCs w:val="24"/>
          <w:lang w:val="en-US" w:eastAsia="en-US" w:bidi="ar-SA"/>
        </w:rPr>
        <w:t>among other</w:t>
      </w:r>
      <w:r w:rsidR="00141866">
        <w:rPr>
          <w:rFonts w:ascii="Times New Roman" w:eastAsiaTheme="minorHAnsi" w:hAnsi="Times New Roman" w:cs="Times New Roman"/>
          <w:sz w:val="24"/>
          <w:szCs w:val="24"/>
          <w:lang w:val="en-US" w:eastAsia="en-US" w:bidi="ar-SA"/>
        </w:rPr>
        <w:t xml:space="preserve"> things)</w:t>
      </w:r>
      <w:r w:rsidRPr="00BF3C5D">
        <w:rPr>
          <w:rFonts w:ascii="Times New Roman" w:eastAsiaTheme="minorHAnsi" w:hAnsi="Times New Roman" w:cs="Times New Roman"/>
          <w:sz w:val="24"/>
          <w:szCs w:val="24"/>
          <w:lang w:val="en-US" w:eastAsia="en-US" w:bidi="ar-SA"/>
        </w:rPr>
        <w:t xml:space="preserve"> MAPK signaling, which has been shown involved in BBB disruption and</w:t>
      </w:r>
      <w:r w:rsidRPr="0085073B">
        <w:rPr>
          <w:rFonts w:ascii="Times New Roman" w:eastAsiaTheme="minorHAnsi" w:hAnsi="Times New Roman" w:cs="Times New Roman"/>
          <w:sz w:val="24"/>
          <w:szCs w:val="24"/>
          <w:lang w:val="en-US" w:eastAsia="en-US" w:bidi="ar-SA"/>
        </w:rPr>
        <w:t xml:space="preserve"> </w:t>
      </w:r>
      <w:r w:rsidRPr="008D1177">
        <w:rPr>
          <w:rFonts w:ascii="Times New Roman" w:eastAsiaTheme="minorHAnsi" w:hAnsi="Times New Roman" w:cs="Times New Roman"/>
          <w:sz w:val="24"/>
          <w:szCs w:val="24"/>
          <w:lang w:val="en-US" w:eastAsia="en-US" w:bidi="ar-SA"/>
        </w:rPr>
        <w:t>in vivo</w:t>
      </w:r>
      <w:r w:rsidRPr="00BF3C5D">
        <w:rPr>
          <w:rFonts w:ascii="Times New Roman" w:eastAsiaTheme="minorHAnsi" w:hAnsi="Times New Roman" w:cs="Times New Roman"/>
          <w:sz w:val="24"/>
          <w:szCs w:val="24"/>
          <w:lang w:val="en-US" w:eastAsia="en-US" w:bidi="ar-SA"/>
        </w:rPr>
        <w:t xml:space="preserve"> neurological symptoms of severe malaria </w:t>
      </w:r>
      <w:r w:rsidRPr="00BF3C5D">
        <w:rPr>
          <w:rFonts w:ascii="Times New Roman" w:eastAsiaTheme="minorHAnsi" w:hAnsi="Times New Roman" w:cs="Times New Roman"/>
          <w:sz w:val="24"/>
          <w:szCs w:val="24"/>
          <w:lang w:eastAsia="en-US" w:bidi="ar-SA"/>
        </w:rPr>
        <w:fldChar w:fldCharType="begin" w:fldLock="1"/>
      </w:r>
      <w:r w:rsidR="003F6C97" w:rsidRPr="00BF3C5D">
        <w:rPr>
          <w:rFonts w:ascii="Times New Roman" w:eastAsiaTheme="minorHAnsi" w:hAnsi="Times New Roman" w:cs="Times New Roman"/>
          <w:sz w:val="24"/>
          <w:szCs w:val="24"/>
          <w:lang w:val="en-US" w:eastAsia="en-US" w:bidi="ar-SA"/>
        </w:rPr>
        <w:instrText>ADDIN CSL_CITATION {"citationItems":[{"id":"ITEM-1","itemData":{"DOI":"10.1210/me.2015-1062","ISSN":"0888-8809","PMID":"25866875","abstract":"The effects of cannabinoids have been known for centuries and over the past several decades two G protein-coupled receptors, CB1 and CB2, that are responsible for their activity have been identified. Endogenous lipid-derived cannabinergic agents have been found, biosynthetic and catabolic machinery has been characterized, and synthetic agents have been designed to modulate these receptors. Selective agents including agonists, antagonists, inverse agonists, and novel allosteric modulators targeting either CB1 orCB2 have been developed to inhibit or augment their basal tone. As a result, the role these receptors play in human physiology and their potential therapeutic applications in disease states are being elucidated. The CB1 receptor, although ubiquitous, is densely expressed in the brain, and CB2 is largely found on cells of immune origin. This minireview highlights the role of CB1 in excitotoxic assaults in the brain and its potential to limit addiction liability. In addition, it will examine the relationship between receptor activity and stimulation of insulin release from pancreatic /3-cells, insulin resistance, and feeding behavior leading toward obesity. The roles of CB2 in the neuropathology of amyotrophic lateral sclerosis and in the central manifestations of chronic HIV infection potentially converge at inflammatory cell activation, thereby providing an opportunity for intervention. Last, CB2 modulation is discussed in the context of an experimental model of postmenopausal osteoporosis. Achieving exquisite receptor selectivity and elucidating the mechanisms underlying receptor inhibition and activation will be essential for the development of the next generation of cannabinergic-based therapeutic agents.","author":[{"dropping-particle":"","family":"Picone","given":"Robert P","non-dropping-particle":"","parse-names":false,"suffix":""},{"dropping-particle":"","family":"Kendall","given":"Debra A","non-dropping-particle":"","parse-names":false,"suffix":""}],"container-title":"Molecular Endocrinology","id":"ITEM-1","issue":"6","issued":{"date-parts":[["2015"]]},"page":"801-813","title":"Minireview: From the Bench, Toward the Clinic: Therapeutic Opportunities for Cannabinoid Receptor Modulation","type":"article-journal","volume":"29"},"uris":["http://www.mendeley.com/documents/?uuid=d290ec70-b68c-34c4-b2fc-0be5c6e0b64b"]},{"id":"ITEM-2","itemData":{"author":[{"dropping-particle":"","family":"Rhee","given":"Man-Hee","non-dropping-particle":"","parse-names":false,"suffix":""},{"dropping-particle":"","family":"Sang-Keun","given":"Kim","non-dropping-particle":"","parse-names":false,"suffix":""}],"container-title":"Journal of Veterinary Science","id":"ITEM-2","issue":"3","issued":{"date-parts":[["2002"]]},"page":"179-184","publisher":"The Korean Society of Veterinary Science","title":"SR144528 as Inverse Agonist of CB2 Cannabinoid Receptor","type":"article-journal","volume":"3"},"uris":["http://www.mendeley.com/documents/?uuid=2335a2d0-d834-313b-a483-f3802308d7ea"]}],"mendeley":{"formattedCitation":"(Picone &amp; Kendall, 2015; Rhee &amp; Sang-Keun, 2002)","plainTextFormattedCitation":"(Picone &amp; Kendall, 2015; Rhee &amp; Sang-Keun, 2002)","previouslyFormattedCitation":"(Picone &amp; Kendall, 2015; Rhee &amp; Sang-Keun, 2002)"},"properties":{"noteIndex":0},"schema":"https://github.com/citation-style-language/schema/raw/master/csl-citation.json"}</w:instrText>
      </w:r>
      <w:r w:rsidRPr="00BF3C5D">
        <w:rPr>
          <w:rFonts w:ascii="Times New Roman" w:eastAsiaTheme="minorHAnsi" w:hAnsi="Times New Roman" w:cs="Times New Roman"/>
          <w:sz w:val="24"/>
          <w:szCs w:val="24"/>
          <w:lang w:eastAsia="en-US" w:bidi="ar-SA"/>
        </w:rPr>
        <w:fldChar w:fldCharType="separate"/>
      </w:r>
      <w:r w:rsidRPr="00BF3C5D">
        <w:rPr>
          <w:rFonts w:ascii="Times New Roman" w:eastAsiaTheme="minorHAnsi" w:hAnsi="Times New Roman" w:cs="Times New Roman"/>
          <w:noProof/>
          <w:sz w:val="24"/>
          <w:szCs w:val="24"/>
          <w:lang w:val="en-US" w:eastAsia="en-US" w:bidi="ar-SA"/>
        </w:rPr>
        <w:t>(Picone &amp; Kendall, 2015; Rhee &amp; Sang-Keun, 2002)</w:t>
      </w:r>
      <w:r w:rsidRPr="00BF3C5D">
        <w:rPr>
          <w:rFonts w:ascii="Times New Roman" w:eastAsiaTheme="minorHAnsi" w:hAnsi="Times New Roman" w:cs="Times New Roman"/>
          <w:sz w:val="24"/>
          <w:szCs w:val="24"/>
          <w:lang w:eastAsia="en-US" w:bidi="ar-SA"/>
        </w:rPr>
        <w:fldChar w:fldCharType="end"/>
      </w:r>
      <w:r w:rsidRPr="00BF3C5D">
        <w:rPr>
          <w:rFonts w:ascii="Times New Roman" w:eastAsiaTheme="minorHAnsi" w:hAnsi="Times New Roman" w:cs="Times New Roman"/>
          <w:sz w:val="24"/>
          <w:szCs w:val="24"/>
          <w:lang w:val="en-US" w:eastAsia="en-US" w:bidi="ar-SA"/>
        </w:rPr>
        <w:t>. By blocking CB</w:t>
      </w:r>
      <w:r w:rsidRPr="00BF3C5D">
        <w:rPr>
          <w:rFonts w:ascii="Times New Roman" w:eastAsiaTheme="minorHAnsi" w:hAnsi="Times New Roman" w:cs="Times New Roman"/>
          <w:sz w:val="24"/>
          <w:szCs w:val="24"/>
          <w:vertAlign w:val="subscript"/>
          <w:lang w:val="en-US" w:eastAsia="en-US" w:bidi="ar-SA"/>
        </w:rPr>
        <w:t>2</w:t>
      </w:r>
      <w:r w:rsidRPr="00BF3C5D">
        <w:rPr>
          <w:rFonts w:ascii="Times New Roman" w:eastAsiaTheme="minorHAnsi" w:hAnsi="Times New Roman" w:cs="Times New Roman"/>
          <w:sz w:val="24"/>
          <w:szCs w:val="24"/>
          <w:lang w:val="en-US" w:eastAsia="en-US" w:bidi="ar-SA"/>
        </w:rPr>
        <w:t xml:space="preserve"> receptor, the MAPK pathway would be inhibited, thus maintaining BBB integrity.</w:t>
      </w:r>
    </w:p>
    <w:p w14:paraId="0C35D84C" w14:textId="77777777" w:rsidR="0087757B" w:rsidRPr="00BF3C5D" w:rsidRDefault="0087757B" w:rsidP="00BF3C5D">
      <w:pPr>
        <w:pStyle w:val="Heading1"/>
        <w:rPr>
          <w:lang w:val="en-US"/>
        </w:rPr>
      </w:pPr>
      <w:r w:rsidRPr="00BF3C5D">
        <w:rPr>
          <w:lang w:val="en-US"/>
        </w:rPr>
        <w:t>CONCLUSION</w:t>
      </w:r>
    </w:p>
    <w:p w14:paraId="082F2BAE" w14:textId="182AF456" w:rsidR="0087757B" w:rsidRPr="00BF3C5D" w:rsidRDefault="0087757B" w:rsidP="00BF3C5D">
      <w:pPr>
        <w:tabs>
          <w:tab w:val="left" w:pos="2135"/>
        </w:tabs>
        <w:spacing w:before="120" w:after="120" w:line="360" w:lineRule="auto"/>
        <w:jc w:val="both"/>
        <w:rPr>
          <w:rFonts w:ascii="Times New Roman" w:hAnsi="Times New Roman" w:cs="Times New Roman"/>
          <w:sz w:val="24"/>
          <w:szCs w:val="24"/>
          <w:lang w:val="en-US"/>
        </w:rPr>
      </w:pPr>
      <w:r w:rsidRPr="00BF3C5D">
        <w:rPr>
          <w:rFonts w:ascii="Times New Roman" w:hAnsi="Times New Roman" w:cs="Times New Roman"/>
          <w:sz w:val="24"/>
          <w:szCs w:val="24"/>
          <w:lang w:val="en-US"/>
        </w:rPr>
        <w:t>In this study, we hypothesized modulation and therapeutic potential of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 in the pathophysiology of experimental CM. Through blockade by SR144528 </w:t>
      </w:r>
      <w:r w:rsidR="001314B6">
        <w:rPr>
          <w:rFonts w:ascii="Times New Roman" w:hAnsi="Times New Roman" w:cs="Times New Roman"/>
          <w:sz w:val="24"/>
          <w:szCs w:val="24"/>
          <w:lang w:val="en-US"/>
        </w:rPr>
        <w:t>(</w:t>
      </w:r>
      <w:r w:rsidRPr="00BF3C5D">
        <w:rPr>
          <w:rFonts w:ascii="Times New Roman" w:hAnsi="Times New Roman" w:cs="Times New Roman"/>
          <w:sz w:val="24"/>
          <w:szCs w:val="24"/>
          <w:lang w:val="en-US"/>
        </w:rPr>
        <w:t>a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 selective antagonist</w:t>
      </w:r>
      <w:r w:rsidR="001314B6">
        <w:rPr>
          <w:rFonts w:ascii="Times New Roman" w:hAnsi="Times New Roman" w:cs="Times New Roman"/>
          <w:sz w:val="24"/>
          <w:szCs w:val="24"/>
          <w:lang w:val="en-US"/>
        </w:rPr>
        <w:t>)</w:t>
      </w:r>
      <w:r w:rsidRPr="00BF3C5D">
        <w:rPr>
          <w:rFonts w:ascii="Times New Roman" w:hAnsi="Times New Roman" w:cs="Times New Roman"/>
          <w:sz w:val="24"/>
          <w:szCs w:val="24"/>
          <w:lang w:val="en-US"/>
        </w:rPr>
        <w:t xml:space="preserve"> in an </w:t>
      </w:r>
      <w:r w:rsidRPr="008D1177">
        <w:rPr>
          <w:rFonts w:ascii="Times New Roman" w:hAnsi="Times New Roman" w:cs="Times New Roman"/>
          <w:sz w:val="24"/>
          <w:szCs w:val="24"/>
          <w:lang w:val="en-US"/>
        </w:rPr>
        <w:t>in vivo</w:t>
      </w:r>
      <w:r w:rsidRPr="00BF3C5D">
        <w:rPr>
          <w:rFonts w:ascii="Times New Roman" w:hAnsi="Times New Roman" w:cs="Times New Roman"/>
          <w:sz w:val="24"/>
          <w:szCs w:val="24"/>
          <w:lang w:val="en-US"/>
        </w:rPr>
        <w:t xml:space="preserve"> murine model of CM, 30% of the treated mice showed partial recovery of CM symptoms with 20% increased survival</w:t>
      </w:r>
      <w:r w:rsidR="00861E3A">
        <w:rPr>
          <w:rFonts w:ascii="Times New Roman" w:hAnsi="Times New Roman" w:cs="Times New Roman"/>
          <w:sz w:val="24"/>
          <w:szCs w:val="24"/>
          <w:lang w:val="en-US"/>
        </w:rPr>
        <w:t xml:space="preserve"> while</w:t>
      </w:r>
      <w:r w:rsidRPr="00BF3C5D">
        <w:rPr>
          <w:rFonts w:ascii="Times New Roman" w:hAnsi="Times New Roman" w:cs="Times New Roman"/>
          <w:sz w:val="24"/>
          <w:szCs w:val="24"/>
          <w:lang w:val="en-US"/>
        </w:rPr>
        <w:t xml:space="preserve"> finally succumbing to hyperparasitaemia and severe anemia. Although other factors seem to be involved in controlling the infection and our results are inconclusive, the present observations provide valuable experimental information for the development of alternative treatment regimens for CM by combining classic antimalarial drugs and neuroprotective compounds targeting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Thus, we suggest that SR144528 could be used as an adjuvant in the treatment of CM for a rescue therapy that could prevent or eliminate neurological sequelae in individuals who survive the infection. Further experimental pharmacological studies would be interesting to elucidate optimal candidates.</w:t>
      </w:r>
    </w:p>
    <w:p w14:paraId="14AB6FE1" w14:textId="77777777" w:rsidR="0087757B" w:rsidRPr="00BF3C5D" w:rsidRDefault="0087757B" w:rsidP="00BF3C5D">
      <w:pPr>
        <w:pStyle w:val="Heading1"/>
        <w:rPr>
          <w:lang w:val="en-US"/>
        </w:rPr>
      </w:pPr>
      <w:r w:rsidRPr="00BF3C5D">
        <w:rPr>
          <w:lang w:val="en-US"/>
        </w:rPr>
        <w:t>BIBLIOGRAPHY</w:t>
      </w:r>
    </w:p>
    <w:p w14:paraId="16E9B12D" w14:textId="139B5512" w:rsidR="008250C4" w:rsidRPr="00BF3C5D" w:rsidRDefault="0087757B"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sz w:val="24"/>
          <w:szCs w:val="24"/>
          <w:lang w:val="en-US"/>
        </w:rPr>
        <w:fldChar w:fldCharType="begin" w:fldLock="1"/>
      </w:r>
      <w:r w:rsidRPr="00BF3C5D">
        <w:rPr>
          <w:rFonts w:ascii="Times New Roman" w:hAnsi="Times New Roman" w:cs="Times New Roman"/>
          <w:sz w:val="24"/>
          <w:szCs w:val="24"/>
          <w:lang w:val="en-US"/>
        </w:rPr>
        <w:instrText xml:space="preserve">ADDIN Mendeley Bibliography CSL_BIBLIOGRAPHY </w:instrText>
      </w:r>
      <w:r w:rsidRPr="00BF3C5D">
        <w:rPr>
          <w:rFonts w:ascii="Times New Roman" w:hAnsi="Times New Roman" w:cs="Times New Roman"/>
          <w:sz w:val="24"/>
          <w:szCs w:val="24"/>
          <w:lang w:val="en-US"/>
        </w:rPr>
        <w:fldChar w:fldCharType="separate"/>
      </w:r>
      <w:r w:rsidR="008250C4" w:rsidRPr="00BF3C5D">
        <w:rPr>
          <w:rFonts w:ascii="Times New Roman" w:hAnsi="Times New Roman" w:cs="Times New Roman"/>
          <w:noProof/>
          <w:sz w:val="24"/>
          <w:szCs w:val="24"/>
          <w:lang w:val="en-US"/>
        </w:rPr>
        <w:t xml:space="preserve">Alferink, J., Specht, S., Arends, H., Schumak, B., Schmidt, K., Ruland, C., … Zimmer, A. (2016). Cannabinoid receptor 2 modulates susceptibility to experimental cerebral malaria through a CCL17-dependent Mechanism. </w:t>
      </w:r>
      <w:r w:rsidR="008250C4" w:rsidRPr="00BF3C5D">
        <w:rPr>
          <w:rFonts w:ascii="Times New Roman" w:hAnsi="Times New Roman" w:cs="Times New Roman"/>
          <w:i/>
          <w:iCs/>
          <w:noProof/>
          <w:sz w:val="24"/>
          <w:szCs w:val="24"/>
          <w:lang w:val="en-US"/>
        </w:rPr>
        <w:t>Journal of Biological Chemistry</w:t>
      </w:r>
      <w:r w:rsidR="008250C4" w:rsidRPr="00BF3C5D">
        <w:rPr>
          <w:rFonts w:ascii="Times New Roman" w:hAnsi="Times New Roman" w:cs="Times New Roman"/>
          <w:noProof/>
          <w:sz w:val="24"/>
          <w:szCs w:val="24"/>
          <w:lang w:val="en-US"/>
        </w:rPr>
        <w:t xml:space="preserve">, </w:t>
      </w:r>
      <w:r w:rsidR="008250C4" w:rsidRPr="00BF3C5D">
        <w:rPr>
          <w:rFonts w:ascii="Times New Roman" w:hAnsi="Times New Roman" w:cs="Times New Roman"/>
          <w:i/>
          <w:iCs/>
          <w:noProof/>
          <w:sz w:val="24"/>
          <w:szCs w:val="24"/>
          <w:lang w:val="en-US"/>
        </w:rPr>
        <w:t>291</w:t>
      </w:r>
      <w:r w:rsidR="008250C4" w:rsidRPr="00BF3C5D">
        <w:rPr>
          <w:rFonts w:ascii="Times New Roman" w:hAnsi="Times New Roman" w:cs="Times New Roman"/>
          <w:noProof/>
          <w:sz w:val="24"/>
          <w:szCs w:val="24"/>
          <w:lang w:val="en-US"/>
        </w:rPr>
        <w:t>(37), 19517–19531. https://doi.org/10.1074/jbc.M116.746594</w:t>
      </w:r>
    </w:p>
    <w:p w14:paraId="1E3ED53B"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lang w:val="en-US"/>
        </w:rPr>
        <w:lastRenderedPageBreak/>
        <w:t xml:space="preserve">Bartoloni, A., &amp; Zammarchi, L. (2012). Clinical aspects of uncomplicated and severe malaria. </w:t>
      </w:r>
      <w:r w:rsidRPr="00BF3C5D">
        <w:rPr>
          <w:rFonts w:ascii="Times New Roman" w:hAnsi="Times New Roman" w:cs="Times New Roman"/>
          <w:i/>
          <w:iCs/>
          <w:noProof/>
          <w:sz w:val="24"/>
          <w:szCs w:val="24"/>
          <w:lang w:val="en-US"/>
        </w:rPr>
        <w:t>Mediterranean Journal of Hematology and Infectious Diseases</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4</w:t>
      </w:r>
      <w:r w:rsidRPr="00BF3C5D">
        <w:rPr>
          <w:rFonts w:ascii="Times New Roman" w:hAnsi="Times New Roman" w:cs="Times New Roman"/>
          <w:noProof/>
          <w:sz w:val="24"/>
          <w:szCs w:val="24"/>
          <w:lang w:val="en-US"/>
        </w:rPr>
        <w:t>(1), e2012026. https://doi.org/10.4084/MJHID.2012.026</w:t>
      </w:r>
    </w:p>
    <w:p w14:paraId="6B86EFA7"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rPr>
      </w:pPr>
      <w:r w:rsidRPr="008D1177">
        <w:rPr>
          <w:rFonts w:ascii="Times New Roman" w:hAnsi="Times New Roman" w:cs="Times New Roman"/>
          <w:noProof/>
          <w:sz w:val="24"/>
          <w:szCs w:val="24"/>
          <w:lang w:val="fr-FR"/>
        </w:rPr>
        <w:t xml:space="preserve">Brian De Souza, J., Hafalla, J. C. R., Riley, E. M., &amp; Couper, K. N. (2010). </w:t>
      </w:r>
      <w:r w:rsidRPr="00BF3C5D">
        <w:rPr>
          <w:rFonts w:ascii="Times New Roman" w:hAnsi="Times New Roman" w:cs="Times New Roman"/>
          <w:noProof/>
          <w:sz w:val="24"/>
          <w:szCs w:val="24"/>
          <w:lang w:val="en-US"/>
        </w:rPr>
        <w:t xml:space="preserve">Cerebral malaria: Why experimental murine models are required to understand the pathogenesis of disease. </w:t>
      </w:r>
      <w:r w:rsidRPr="00BF3C5D">
        <w:rPr>
          <w:rFonts w:ascii="Times New Roman" w:hAnsi="Times New Roman" w:cs="Times New Roman"/>
          <w:i/>
          <w:iCs/>
          <w:noProof/>
          <w:sz w:val="24"/>
          <w:szCs w:val="24"/>
        </w:rPr>
        <w:t>Parasitology</w:t>
      </w:r>
      <w:r w:rsidRPr="00BF3C5D">
        <w:rPr>
          <w:rFonts w:ascii="Times New Roman" w:hAnsi="Times New Roman" w:cs="Times New Roman"/>
          <w:noProof/>
          <w:sz w:val="24"/>
          <w:szCs w:val="24"/>
        </w:rPr>
        <w:t>. https://doi.org/10.1017/S0031182009991715</w:t>
      </w:r>
    </w:p>
    <w:p w14:paraId="32A4D4DA"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rPr>
        <w:t xml:space="preserve">Campos, A. C., Brant, F., Miranda, A. S., Machado, F. S., &amp; Teixeira, A. L. (2015). </w:t>
      </w:r>
      <w:r w:rsidRPr="00BF3C5D">
        <w:rPr>
          <w:rFonts w:ascii="Times New Roman" w:hAnsi="Times New Roman" w:cs="Times New Roman"/>
          <w:noProof/>
          <w:sz w:val="24"/>
          <w:szCs w:val="24"/>
          <w:lang w:val="en-US"/>
        </w:rPr>
        <w:t xml:space="preserve">Cannabidiol increases survival and promotes rescue of cognitive function in a murine model of cerebral malaria. </w:t>
      </w:r>
      <w:r w:rsidRPr="00BF3C5D">
        <w:rPr>
          <w:rFonts w:ascii="Times New Roman" w:hAnsi="Times New Roman" w:cs="Times New Roman"/>
          <w:i/>
          <w:iCs/>
          <w:noProof/>
          <w:sz w:val="24"/>
          <w:szCs w:val="24"/>
          <w:lang w:val="en-US"/>
        </w:rPr>
        <w:t>Neuroscience</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289</w:t>
      </w:r>
      <w:r w:rsidRPr="00BF3C5D">
        <w:rPr>
          <w:rFonts w:ascii="Times New Roman" w:hAnsi="Times New Roman" w:cs="Times New Roman"/>
          <w:noProof/>
          <w:sz w:val="24"/>
          <w:szCs w:val="24"/>
          <w:lang w:val="en-US"/>
        </w:rPr>
        <w:t>, 166–180. https://doi.org/10.1016/j.neuroscience.2014.12.051</w:t>
      </w:r>
    </w:p>
    <w:p w14:paraId="78867A58"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lang w:val="en-US"/>
        </w:rPr>
        <w:t xml:space="preserve">Combes, V., Coltel, N., Faille, D., Wassmer, S. C., &amp; Grau, G. E. (2006). Cerebral malaria: role of microparticles and platelets in alterations of the blood-brain barrier. </w:t>
      </w:r>
      <w:r w:rsidRPr="00BF3C5D">
        <w:rPr>
          <w:rFonts w:ascii="Times New Roman" w:hAnsi="Times New Roman" w:cs="Times New Roman"/>
          <w:i/>
          <w:iCs/>
          <w:noProof/>
          <w:sz w:val="24"/>
          <w:szCs w:val="24"/>
          <w:lang w:val="en-US"/>
        </w:rPr>
        <w:t>International Journal for Parasitology</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36</w:t>
      </w:r>
      <w:r w:rsidRPr="00BF3C5D">
        <w:rPr>
          <w:rFonts w:ascii="Times New Roman" w:hAnsi="Times New Roman" w:cs="Times New Roman"/>
          <w:noProof/>
          <w:sz w:val="24"/>
          <w:szCs w:val="24"/>
          <w:lang w:val="en-US"/>
        </w:rPr>
        <w:t>(5), 541–546. https://doi.org/10.1016/j.ijpara.2006.02.005</w:t>
      </w:r>
    </w:p>
    <w:p w14:paraId="5A10894A" w14:textId="77777777" w:rsidR="008250C4" w:rsidRPr="008D1177"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lang w:val="en-US"/>
        </w:rPr>
        <w:t xml:space="preserve">Cumella, J., Hernández-Folgado, L., Girón, R., Sánchez, E., Morales, P., Hurst, D. P., … Jagerovic, N. (2012). Chromenopyrazoles: Non-psychoactive and Selective CB 1 Cannabinoid Agonists with Peripheral Antinociceptive Properties. </w:t>
      </w:r>
      <w:r w:rsidRPr="008D1177">
        <w:rPr>
          <w:rFonts w:ascii="Times New Roman" w:hAnsi="Times New Roman" w:cs="Times New Roman"/>
          <w:i/>
          <w:iCs/>
          <w:noProof/>
          <w:sz w:val="24"/>
          <w:szCs w:val="24"/>
          <w:lang w:val="en-US"/>
        </w:rPr>
        <w:t>ChemMedChem</w:t>
      </w:r>
      <w:r w:rsidRPr="008D1177">
        <w:rPr>
          <w:rFonts w:ascii="Times New Roman" w:hAnsi="Times New Roman" w:cs="Times New Roman"/>
          <w:noProof/>
          <w:sz w:val="24"/>
          <w:szCs w:val="24"/>
          <w:lang w:val="en-US"/>
        </w:rPr>
        <w:t xml:space="preserve">, </w:t>
      </w:r>
      <w:r w:rsidRPr="008D1177">
        <w:rPr>
          <w:rFonts w:ascii="Times New Roman" w:hAnsi="Times New Roman" w:cs="Times New Roman"/>
          <w:i/>
          <w:iCs/>
          <w:noProof/>
          <w:sz w:val="24"/>
          <w:szCs w:val="24"/>
          <w:lang w:val="en-US"/>
        </w:rPr>
        <w:t>7</w:t>
      </w:r>
      <w:r w:rsidRPr="008D1177">
        <w:rPr>
          <w:rFonts w:ascii="Times New Roman" w:hAnsi="Times New Roman" w:cs="Times New Roman"/>
          <w:noProof/>
          <w:sz w:val="24"/>
          <w:szCs w:val="24"/>
          <w:lang w:val="en-US"/>
        </w:rPr>
        <w:t>(3), 452–463. https://doi.org/10.1002/cmdc.201100568</w:t>
      </w:r>
    </w:p>
    <w:p w14:paraId="476FB785"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8D1177">
        <w:rPr>
          <w:rFonts w:ascii="Times New Roman" w:hAnsi="Times New Roman" w:cs="Times New Roman"/>
          <w:noProof/>
          <w:sz w:val="24"/>
          <w:szCs w:val="24"/>
          <w:lang w:val="en-US"/>
        </w:rPr>
        <w:t xml:space="preserve">Deiana, V., Gómez-Cañas, M., Pazos, M. R., Fernández-Ruiz, J., Asproni, B., Cichero, E., … </w:t>
      </w:r>
      <w:r w:rsidRPr="00BF3C5D">
        <w:rPr>
          <w:rFonts w:ascii="Times New Roman" w:hAnsi="Times New Roman" w:cs="Times New Roman"/>
          <w:noProof/>
          <w:sz w:val="24"/>
          <w:szCs w:val="24"/>
          <w:lang w:val="en-US"/>
        </w:rPr>
        <w:t xml:space="preserve">Pinna, G. A. (2016). Tricyclic pyrazoles. Part 8. Synthesis, biological evaluation and modelling of tricyclic pyrazole carboxamides as potential CB2 receptor ligands with antagonist/inverse agonist properties. </w:t>
      </w:r>
      <w:r w:rsidRPr="00BF3C5D">
        <w:rPr>
          <w:rFonts w:ascii="Times New Roman" w:hAnsi="Times New Roman" w:cs="Times New Roman"/>
          <w:i/>
          <w:iCs/>
          <w:noProof/>
          <w:sz w:val="24"/>
          <w:szCs w:val="24"/>
          <w:lang w:val="en-US"/>
        </w:rPr>
        <w:t>European Journal of Medicinal Chemistry</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112</w:t>
      </w:r>
      <w:r w:rsidRPr="00BF3C5D">
        <w:rPr>
          <w:rFonts w:ascii="Times New Roman" w:hAnsi="Times New Roman" w:cs="Times New Roman"/>
          <w:noProof/>
          <w:sz w:val="24"/>
          <w:szCs w:val="24"/>
          <w:lang w:val="en-US"/>
        </w:rPr>
        <w:t>, 66–80. https://doi.org/10.1016/J.EJMECH.2016.02.005</w:t>
      </w:r>
    </w:p>
    <w:p w14:paraId="23E048C7"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rPr>
      </w:pPr>
      <w:r w:rsidRPr="00BF3C5D">
        <w:rPr>
          <w:rFonts w:ascii="Times New Roman" w:hAnsi="Times New Roman" w:cs="Times New Roman"/>
          <w:noProof/>
          <w:sz w:val="24"/>
          <w:szCs w:val="24"/>
        </w:rPr>
        <w:t xml:space="preserve">Fernández-Ruiz, J., Romero, J., &amp; Ramos, J. A. (2015). </w:t>
      </w:r>
      <w:r w:rsidRPr="00BF3C5D">
        <w:rPr>
          <w:rFonts w:ascii="Times New Roman" w:hAnsi="Times New Roman" w:cs="Times New Roman"/>
          <w:noProof/>
          <w:sz w:val="24"/>
          <w:szCs w:val="24"/>
          <w:lang w:val="en-US"/>
        </w:rPr>
        <w:t xml:space="preserve">Endocannabinoids and neurodegenerative disorders: Parkinson’s disease, huntington’s chorea, alzheimer’s disease, and others. </w:t>
      </w:r>
      <w:r w:rsidRPr="00BF3C5D">
        <w:rPr>
          <w:rFonts w:ascii="Times New Roman" w:hAnsi="Times New Roman" w:cs="Times New Roman"/>
          <w:noProof/>
          <w:sz w:val="24"/>
          <w:szCs w:val="24"/>
        </w:rPr>
        <w:t xml:space="preserve">In </w:t>
      </w:r>
      <w:r w:rsidRPr="00BF3C5D">
        <w:rPr>
          <w:rFonts w:ascii="Times New Roman" w:hAnsi="Times New Roman" w:cs="Times New Roman"/>
          <w:i/>
          <w:iCs/>
          <w:noProof/>
          <w:sz w:val="24"/>
          <w:szCs w:val="24"/>
        </w:rPr>
        <w:t>Endocannabinoids</w:t>
      </w:r>
      <w:r w:rsidRPr="00BF3C5D">
        <w:rPr>
          <w:rFonts w:ascii="Times New Roman" w:hAnsi="Times New Roman" w:cs="Times New Roman"/>
          <w:noProof/>
          <w:sz w:val="24"/>
          <w:szCs w:val="24"/>
        </w:rPr>
        <w:t xml:space="preserve"> (Vol. 231, pp. 233–259). https://doi.org/10.1007/978-3-319-20825-1_8</w:t>
      </w:r>
    </w:p>
    <w:p w14:paraId="6E54BD80"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rPr>
        <w:t xml:space="preserve">Fernández-Ruiz, J., Romero, J., Velasco, G., Tolón, R. M., Ramos, J., &amp; Guzmán, M. (2006). </w:t>
      </w:r>
      <w:r w:rsidRPr="00BF3C5D">
        <w:rPr>
          <w:rFonts w:ascii="Times New Roman" w:hAnsi="Times New Roman" w:cs="Times New Roman"/>
          <w:noProof/>
          <w:sz w:val="24"/>
          <w:szCs w:val="24"/>
          <w:lang w:val="en-US"/>
        </w:rPr>
        <w:t xml:space="preserve">Cannabinoid CB 2 receptor : a new target for controlling neural cell survival ?, </w:t>
      </w:r>
      <w:r w:rsidRPr="00BF3C5D">
        <w:rPr>
          <w:rFonts w:ascii="Times New Roman" w:hAnsi="Times New Roman" w:cs="Times New Roman"/>
          <w:i/>
          <w:iCs/>
          <w:noProof/>
          <w:sz w:val="24"/>
          <w:szCs w:val="24"/>
          <w:lang w:val="en-US"/>
        </w:rPr>
        <w:t>28</w:t>
      </w:r>
      <w:r w:rsidRPr="00BF3C5D">
        <w:rPr>
          <w:rFonts w:ascii="Times New Roman" w:hAnsi="Times New Roman" w:cs="Times New Roman"/>
          <w:noProof/>
          <w:sz w:val="24"/>
          <w:szCs w:val="24"/>
          <w:lang w:val="en-US"/>
        </w:rPr>
        <w:t>(1). https://doi.org/10.1016/j.tips.2006.11.001</w:t>
      </w:r>
    </w:p>
    <w:p w14:paraId="43F6D514"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rPr>
        <w:lastRenderedPageBreak/>
        <w:t xml:space="preserve">Fogaça, M. V., Galve-Roperh, I., Guimarães, F. S., &amp; Campos, A. C. (2013). </w:t>
      </w:r>
      <w:r w:rsidRPr="00BF3C5D">
        <w:rPr>
          <w:rFonts w:ascii="Times New Roman" w:hAnsi="Times New Roman" w:cs="Times New Roman"/>
          <w:noProof/>
          <w:sz w:val="24"/>
          <w:szCs w:val="24"/>
          <w:lang w:val="en-US"/>
        </w:rPr>
        <w:t xml:space="preserve">Cannabinoids, Neurogenesis and Antidepressant Drugs: Is there a Link? </w:t>
      </w:r>
      <w:r w:rsidRPr="00BF3C5D">
        <w:rPr>
          <w:rFonts w:ascii="Times New Roman" w:hAnsi="Times New Roman" w:cs="Times New Roman"/>
          <w:i/>
          <w:iCs/>
          <w:noProof/>
          <w:sz w:val="24"/>
          <w:szCs w:val="24"/>
          <w:lang w:val="en-US"/>
        </w:rPr>
        <w:t>Current Neuropharmacology</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11</w:t>
      </w:r>
      <w:r w:rsidRPr="00BF3C5D">
        <w:rPr>
          <w:rFonts w:ascii="Times New Roman" w:hAnsi="Times New Roman" w:cs="Times New Roman"/>
          <w:noProof/>
          <w:sz w:val="24"/>
          <w:szCs w:val="24"/>
          <w:lang w:val="en-US"/>
        </w:rPr>
        <w:t>(3), 263–275. https://doi.org/10.2174/1570159X11311030003</w:t>
      </w:r>
    </w:p>
    <w:p w14:paraId="6F594A96"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8D1177">
        <w:rPr>
          <w:rFonts w:ascii="Times New Roman" w:hAnsi="Times New Roman" w:cs="Times New Roman"/>
          <w:noProof/>
          <w:sz w:val="24"/>
          <w:szCs w:val="24"/>
          <w:lang w:val="fr-FR"/>
        </w:rPr>
        <w:t xml:space="preserve">Grau, G. E., Fajardo, L. F., Piguet, P.-F., Allet, B., Lambert, P.-H., &amp; Vassalli, P. (1987). </w:t>
      </w:r>
      <w:r w:rsidRPr="00BF3C5D">
        <w:rPr>
          <w:rFonts w:ascii="Times New Roman" w:hAnsi="Times New Roman" w:cs="Times New Roman"/>
          <w:noProof/>
          <w:sz w:val="24"/>
          <w:szCs w:val="24"/>
          <w:lang w:val="en-US"/>
        </w:rPr>
        <w:t xml:space="preserve">Tumor necrosis factor (cachetin) as an essential mediator in murine cerebral malaria. </w:t>
      </w:r>
      <w:r w:rsidRPr="00BF3C5D">
        <w:rPr>
          <w:rFonts w:ascii="Times New Roman" w:hAnsi="Times New Roman" w:cs="Times New Roman"/>
          <w:i/>
          <w:iCs/>
          <w:noProof/>
          <w:sz w:val="24"/>
          <w:szCs w:val="24"/>
          <w:lang w:val="en-US"/>
        </w:rPr>
        <w:t>Science</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237</w:t>
      </w:r>
      <w:r w:rsidRPr="00BF3C5D">
        <w:rPr>
          <w:rFonts w:ascii="Times New Roman" w:hAnsi="Times New Roman" w:cs="Times New Roman"/>
          <w:noProof/>
          <w:sz w:val="24"/>
          <w:szCs w:val="24"/>
          <w:lang w:val="en-US"/>
        </w:rPr>
        <w:t>(4819), 1210–1213.</w:t>
      </w:r>
    </w:p>
    <w:p w14:paraId="4F8F5307"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lang w:val="en-US"/>
        </w:rPr>
        <w:t xml:space="preserve">Hunt, N. H., Golenser, J., Chan-Ling, T., Parekh, S., Rae, C., Potter, S., … Ball, H. J. (2006). Immunopathogenesis of cerebral malaria. </w:t>
      </w:r>
      <w:r w:rsidRPr="00BF3C5D">
        <w:rPr>
          <w:rFonts w:ascii="Times New Roman" w:hAnsi="Times New Roman" w:cs="Times New Roman"/>
          <w:i/>
          <w:iCs/>
          <w:noProof/>
          <w:sz w:val="24"/>
          <w:szCs w:val="24"/>
          <w:lang w:val="en-US"/>
        </w:rPr>
        <w:t>International Journal for Parasitology</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36</w:t>
      </w:r>
      <w:r w:rsidRPr="00BF3C5D">
        <w:rPr>
          <w:rFonts w:ascii="Times New Roman" w:hAnsi="Times New Roman" w:cs="Times New Roman"/>
          <w:noProof/>
          <w:sz w:val="24"/>
          <w:szCs w:val="24"/>
          <w:lang w:val="en-US"/>
        </w:rPr>
        <w:t>(5), 569–582. https://doi.org/10.1016/J.IJPARA.2006.02.016</w:t>
      </w:r>
    </w:p>
    <w:p w14:paraId="48711B2B" w14:textId="77777777" w:rsidR="008250C4" w:rsidRPr="008D1177"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8D1177">
        <w:rPr>
          <w:rFonts w:ascii="Times New Roman" w:hAnsi="Times New Roman" w:cs="Times New Roman"/>
          <w:noProof/>
          <w:sz w:val="24"/>
          <w:szCs w:val="24"/>
          <w:lang w:val="de-DE"/>
        </w:rPr>
        <w:t xml:space="preserve">Hunt, N. H., &amp; Grau, G. E. (2003). </w:t>
      </w:r>
      <w:r w:rsidRPr="00BF3C5D">
        <w:rPr>
          <w:rFonts w:ascii="Times New Roman" w:hAnsi="Times New Roman" w:cs="Times New Roman"/>
          <w:noProof/>
          <w:sz w:val="24"/>
          <w:szCs w:val="24"/>
          <w:lang w:val="en-US"/>
        </w:rPr>
        <w:t xml:space="preserve">Cytokines: accelerators and brakes in the pathogenesis of cerebral malaria. </w:t>
      </w:r>
      <w:r w:rsidRPr="008D1177">
        <w:rPr>
          <w:rFonts w:ascii="Times New Roman" w:hAnsi="Times New Roman" w:cs="Times New Roman"/>
          <w:i/>
          <w:iCs/>
          <w:noProof/>
          <w:sz w:val="24"/>
          <w:szCs w:val="24"/>
          <w:lang w:val="en-US"/>
        </w:rPr>
        <w:t>Trends in Immunology</w:t>
      </w:r>
      <w:r w:rsidRPr="008D1177">
        <w:rPr>
          <w:rFonts w:ascii="Times New Roman" w:hAnsi="Times New Roman" w:cs="Times New Roman"/>
          <w:noProof/>
          <w:sz w:val="24"/>
          <w:szCs w:val="24"/>
          <w:lang w:val="en-US"/>
        </w:rPr>
        <w:t xml:space="preserve">, </w:t>
      </w:r>
      <w:r w:rsidRPr="008D1177">
        <w:rPr>
          <w:rFonts w:ascii="Times New Roman" w:hAnsi="Times New Roman" w:cs="Times New Roman"/>
          <w:i/>
          <w:iCs/>
          <w:noProof/>
          <w:sz w:val="24"/>
          <w:szCs w:val="24"/>
          <w:lang w:val="en-US"/>
        </w:rPr>
        <w:t>24</w:t>
      </w:r>
      <w:r w:rsidRPr="008D1177">
        <w:rPr>
          <w:rFonts w:ascii="Times New Roman" w:hAnsi="Times New Roman" w:cs="Times New Roman"/>
          <w:noProof/>
          <w:sz w:val="24"/>
          <w:szCs w:val="24"/>
          <w:lang w:val="en-US"/>
        </w:rPr>
        <w:t>(9), 491–499. https://doi.org/10.1016/S1471-4906(03)00229-1</w:t>
      </w:r>
    </w:p>
    <w:p w14:paraId="362C227A"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8D1177">
        <w:rPr>
          <w:rFonts w:ascii="Times New Roman" w:hAnsi="Times New Roman" w:cs="Times New Roman"/>
          <w:noProof/>
          <w:sz w:val="24"/>
          <w:szCs w:val="24"/>
          <w:lang w:val="en-US"/>
        </w:rPr>
        <w:t xml:space="preserve">Linares, M., Marín-García, P., Pérez-Benavente, S., Sánchez-Nogueiro, J., Puyet, A., Bautista, J. M., &amp; Diez, A. (2013). </w:t>
      </w:r>
      <w:r w:rsidRPr="00BF3C5D">
        <w:rPr>
          <w:rFonts w:ascii="Times New Roman" w:hAnsi="Times New Roman" w:cs="Times New Roman"/>
          <w:noProof/>
          <w:sz w:val="24"/>
          <w:szCs w:val="24"/>
          <w:lang w:val="en-US"/>
        </w:rPr>
        <w:t xml:space="preserve">Brain-derived neurotrophic factor and the course of experimental cerebral malaria. </w:t>
      </w:r>
      <w:r w:rsidRPr="00BF3C5D">
        <w:rPr>
          <w:rFonts w:ascii="Times New Roman" w:hAnsi="Times New Roman" w:cs="Times New Roman"/>
          <w:i/>
          <w:iCs/>
          <w:noProof/>
          <w:sz w:val="24"/>
          <w:szCs w:val="24"/>
          <w:lang w:val="en-US"/>
        </w:rPr>
        <w:t>Brain Research</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1490</w:t>
      </w:r>
      <w:r w:rsidRPr="00BF3C5D">
        <w:rPr>
          <w:rFonts w:ascii="Times New Roman" w:hAnsi="Times New Roman" w:cs="Times New Roman"/>
          <w:noProof/>
          <w:sz w:val="24"/>
          <w:szCs w:val="24"/>
          <w:lang w:val="en-US"/>
        </w:rPr>
        <w:t>, 210–224. https://doi.org/10.1016/j.brainres.2012.10.040</w:t>
      </w:r>
    </w:p>
    <w:p w14:paraId="563384B3"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lang w:val="en-US"/>
        </w:rPr>
        <w:t xml:space="preserve">Lou, J., Lucas, R., &amp; Grau, G. E. (2001). Pathogenesis of Cerebral Malaria: Recent Experimental Data and Possible Applications for Humans, </w:t>
      </w:r>
      <w:r w:rsidRPr="00BF3C5D">
        <w:rPr>
          <w:rFonts w:ascii="Times New Roman" w:hAnsi="Times New Roman" w:cs="Times New Roman"/>
          <w:i/>
          <w:iCs/>
          <w:noProof/>
          <w:sz w:val="24"/>
          <w:szCs w:val="24"/>
          <w:lang w:val="en-US"/>
        </w:rPr>
        <w:t>14</w:t>
      </w:r>
      <w:r w:rsidRPr="00BF3C5D">
        <w:rPr>
          <w:rFonts w:ascii="Times New Roman" w:hAnsi="Times New Roman" w:cs="Times New Roman"/>
          <w:noProof/>
          <w:sz w:val="24"/>
          <w:szCs w:val="24"/>
          <w:lang w:val="en-US"/>
        </w:rPr>
        <w:t>(4), 810–820. https://doi.org/10.1128/CMR.14.4.810–820.2001</w:t>
      </w:r>
    </w:p>
    <w:p w14:paraId="1176B3D4"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rPr>
        <w:t xml:space="preserve">Marín‐García, P., Sánchez‐Nogueiro, J., Diez, A., León‐Otegui, M., Linares, M., García‐Palencia, P., … </w:t>
      </w:r>
      <w:r w:rsidRPr="00BF3C5D">
        <w:rPr>
          <w:rFonts w:ascii="Times New Roman" w:hAnsi="Times New Roman" w:cs="Times New Roman"/>
          <w:noProof/>
          <w:sz w:val="24"/>
          <w:szCs w:val="24"/>
          <w:lang w:val="en-US"/>
        </w:rPr>
        <w:t xml:space="preserve">Miras‐Portugal, M. T. (2009). Altered Nucleotide Receptor Expression in a Murine Model of Cerebral Malaria. </w:t>
      </w:r>
      <w:r w:rsidRPr="00BF3C5D">
        <w:rPr>
          <w:rFonts w:ascii="Times New Roman" w:hAnsi="Times New Roman" w:cs="Times New Roman"/>
          <w:i/>
          <w:iCs/>
          <w:noProof/>
          <w:sz w:val="24"/>
          <w:szCs w:val="24"/>
          <w:lang w:val="en-US"/>
        </w:rPr>
        <w:t>The Journal of Infectious Diseases</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200</w:t>
      </w:r>
      <w:r w:rsidRPr="00BF3C5D">
        <w:rPr>
          <w:rFonts w:ascii="Times New Roman" w:hAnsi="Times New Roman" w:cs="Times New Roman"/>
          <w:noProof/>
          <w:sz w:val="24"/>
          <w:szCs w:val="24"/>
          <w:lang w:val="en-US"/>
        </w:rPr>
        <w:t>(8), 1279–1288. https://doi.org/10.1086/605896</w:t>
      </w:r>
    </w:p>
    <w:p w14:paraId="11DD759B"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lang w:val="en-US"/>
        </w:rPr>
        <w:t xml:space="preserve">Mariotti, R., &amp; Bertini, G. (2011). Neuroinflammation and brain infections: Historical context and current perspectives. </w:t>
      </w:r>
      <w:r w:rsidRPr="00BF3C5D">
        <w:rPr>
          <w:rFonts w:ascii="Times New Roman" w:hAnsi="Times New Roman" w:cs="Times New Roman"/>
          <w:i/>
          <w:iCs/>
          <w:noProof/>
          <w:sz w:val="24"/>
          <w:szCs w:val="24"/>
          <w:lang w:val="en-US"/>
        </w:rPr>
        <w:t>Brain Research Reviews</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66</w:t>
      </w:r>
      <w:r w:rsidRPr="00BF3C5D">
        <w:rPr>
          <w:rFonts w:ascii="Times New Roman" w:hAnsi="Times New Roman" w:cs="Times New Roman"/>
          <w:noProof/>
          <w:sz w:val="24"/>
          <w:szCs w:val="24"/>
          <w:lang w:val="en-US"/>
        </w:rPr>
        <w:t>(1–2), 152–173. https://doi.org/10.1016/J.BRAINRESREV.2010.09.008</w:t>
      </w:r>
    </w:p>
    <w:p w14:paraId="77F56783"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8D1177">
        <w:rPr>
          <w:rFonts w:ascii="Times New Roman" w:hAnsi="Times New Roman" w:cs="Times New Roman"/>
          <w:noProof/>
          <w:sz w:val="24"/>
          <w:szCs w:val="24"/>
        </w:rPr>
        <w:t xml:space="preserve">Martínez-pinilla, E., Varani, K., Reyes-resina, I., Angelats, E., Vincenzi, F., Ferreiro-vera, C., … </w:t>
      </w:r>
      <w:r w:rsidRPr="00BF3C5D">
        <w:rPr>
          <w:rFonts w:ascii="Times New Roman" w:hAnsi="Times New Roman" w:cs="Times New Roman"/>
          <w:noProof/>
          <w:sz w:val="24"/>
          <w:szCs w:val="24"/>
          <w:lang w:val="en-US"/>
        </w:rPr>
        <w:t xml:space="preserve">Martínez-pinilla, E. (2017). Binding and Signaling Studies Disclose a Potential Allosteric Site for Cannabidiol in Cannabinoid CB 2 Receptors, </w:t>
      </w:r>
      <w:r w:rsidRPr="00BF3C5D">
        <w:rPr>
          <w:rFonts w:ascii="Times New Roman" w:hAnsi="Times New Roman" w:cs="Times New Roman"/>
          <w:i/>
          <w:iCs/>
          <w:noProof/>
          <w:sz w:val="24"/>
          <w:szCs w:val="24"/>
          <w:lang w:val="en-US"/>
        </w:rPr>
        <w:t>8</w:t>
      </w:r>
      <w:r w:rsidRPr="00BF3C5D">
        <w:rPr>
          <w:rFonts w:ascii="Times New Roman" w:hAnsi="Times New Roman" w:cs="Times New Roman"/>
          <w:noProof/>
          <w:sz w:val="24"/>
          <w:szCs w:val="24"/>
          <w:lang w:val="en-US"/>
        </w:rPr>
        <w:t>(October), 1–10. https://doi.org/10.3389/fphar.2017.00744</w:t>
      </w:r>
    </w:p>
    <w:p w14:paraId="1C91133D"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rPr>
      </w:pPr>
      <w:r w:rsidRPr="008D1177">
        <w:rPr>
          <w:rFonts w:ascii="Times New Roman" w:hAnsi="Times New Roman" w:cs="Times New Roman"/>
          <w:noProof/>
          <w:sz w:val="24"/>
          <w:szCs w:val="24"/>
          <w:lang w:val="en-US"/>
        </w:rPr>
        <w:lastRenderedPageBreak/>
        <w:t xml:space="preserve">Martinez, G., Linares, M., Marin-Garcia, P., Benavente, S. P., Puyet, A., Bautista, J., &amp; Diez, A. (2013). </w:t>
      </w:r>
      <w:r w:rsidRPr="00BF3C5D">
        <w:rPr>
          <w:rFonts w:ascii="Times New Roman" w:hAnsi="Times New Roman" w:cs="Times New Roman"/>
          <w:i/>
          <w:iCs/>
          <w:noProof/>
          <w:sz w:val="24"/>
          <w:szCs w:val="24"/>
          <w:lang w:val="en-US"/>
        </w:rPr>
        <w:t>Standardization of a cerebral malaria murine model in clinical stages for antimalarial and rescue therapies evaluation</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rPr>
        <w:t>Anales de la Real Academia Nacional de Farmacia</w:t>
      </w:r>
      <w:r w:rsidRPr="00BF3C5D">
        <w:rPr>
          <w:rFonts w:ascii="Times New Roman" w:hAnsi="Times New Roman" w:cs="Times New Roman"/>
          <w:noProof/>
          <w:sz w:val="24"/>
          <w:szCs w:val="24"/>
        </w:rPr>
        <w:t xml:space="preserve"> (Vol. 79).</w:t>
      </w:r>
    </w:p>
    <w:p w14:paraId="049BCE60"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rPr>
      </w:pPr>
      <w:r w:rsidRPr="00BF3C5D">
        <w:rPr>
          <w:rFonts w:ascii="Times New Roman" w:hAnsi="Times New Roman" w:cs="Times New Roman"/>
          <w:noProof/>
          <w:sz w:val="24"/>
          <w:szCs w:val="24"/>
        </w:rPr>
        <w:t xml:space="preserve">Medana, I. M., &amp; Turner, G. D. H. (2006). </w:t>
      </w:r>
      <w:r w:rsidRPr="00BF3C5D">
        <w:rPr>
          <w:rFonts w:ascii="Times New Roman" w:hAnsi="Times New Roman" w:cs="Times New Roman"/>
          <w:noProof/>
          <w:sz w:val="24"/>
          <w:szCs w:val="24"/>
          <w:lang w:val="en-US"/>
        </w:rPr>
        <w:t xml:space="preserve">Human cerebral malaria and the blood–brain barrier. </w:t>
      </w:r>
      <w:r w:rsidRPr="00BF3C5D">
        <w:rPr>
          <w:rFonts w:ascii="Times New Roman" w:hAnsi="Times New Roman" w:cs="Times New Roman"/>
          <w:i/>
          <w:iCs/>
          <w:noProof/>
          <w:sz w:val="24"/>
          <w:szCs w:val="24"/>
        </w:rPr>
        <w:t>International Journal for Parasitology</w:t>
      </w:r>
      <w:r w:rsidRPr="00BF3C5D">
        <w:rPr>
          <w:rFonts w:ascii="Times New Roman" w:hAnsi="Times New Roman" w:cs="Times New Roman"/>
          <w:noProof/>
          <w:sz w:val="24"/>
          <w:szCs w:val="24"/>
        </w:rPr>
        <w:t xml:space="preserve">, </w:t>
      </w:r>
      <w:r w:rsidRPr="00BF3C5D">
        <w:rPr>
          <w:rFonts w:ascii="Times New Roman" w:hAnsi="Times New Roman" w:cs="Times New Roman"/>
          <w:i/>
          <w:iCs/>
          <w:noProof/>
          <w:sz w:val="24"/>
          <w:szCs w:val="24"/>
        </w:rPr>
        <w:t>36</w:t>
      </w:r>
      <w:r w:rsidRPr="00BF3C5D">
        <w:rPr>
          <w:rFonts w:ascii="Times New Roman" w:hAnsi="Times New Roman" w:cs="Times New Roman"/>
          <w:noProof/>
          <w:sz w:val="24"/>
          <w:szCs w:val="24"/>
        </w:rPr>
        <w:t>(5), 555–568. https://doi.org/10.1016/J.IJPARA.2006.02.004</w:t>
      </w:r>
    </w:p>
    <w:p w14:paraId="6848E9BA"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rPr>
        <w:t xml:space="preserve">Morales, P., Gómez-Cañas, M., Navarro, G., Hurst, D. P., Carrillo-Salinas, F. J., Lagartera, L., … </w:t>
      </w:r>
      <w:r w:rsidRPr="00BF3C5D">
        <w:rPr>
          <w:rFonts w:ascii="Times New Roman" w:hAnsi="Times New Roman" w:cs="Times New Roman"/>
          <w:noProof/>
          <w:sz w:val="24"/>
          <w:szCs w:val="24"/>
          <w:lang w:val="en-US"/>
        </w:rPr>
        <w:t xml:space="preserve">Jagerovic, N. (2016). Chromenopyrazole, a Versatile Cannabinoid Scaffold with in Vivo Activity in a Model of Multiple Sclerosis. </w:t>
      </w:r>
      <w:r w:rsidRPr="00BF3C5D">
        <w:rPr>
          <w:rFonts w:ascii="Times New Roman" w:hAnsi="Times New Roman" w:cs="Times New Roman"/>
          <w:i/>
          <w:iCs/>
          <w:noProof/>
          <w:sz w:val="24"/>
          <w:szCs w:val="24"/>
          <w:lang w:val="en-US"/>
        </w:rPr>
        <w:t>Journal of Medicinal Chemistry</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59</w:t>
      </w:r>
      <w:r w:rsidRPr="00BF3C5D">
        <w:rPr>
          <w:rFonts w:ascii="Times New Roman" w:hAnsi="Times New Roman" w:cs="Times New Roman"/>
          <w:noProof/>
          <w:sz w:val="24"/>
          <w:szCs w:val="24"/>
          <w:lang w:val="en-US"/>
        </w:rPr>
        <w:t>(14), 6753–6771. https://doi.org/10.1021/acs.jmedchem.6b00397</w:t>
      </w:r>
    </w:p>
    <w:p w14:paraId="503B6EE5"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rPr>
      </w:pPr>
      <w:r w:rsidRPr="00BF3C5D">
        <w:rPr>
          <w:rFonts w:ascii="Times New Roman" w:hAnsi="Times New Roman" w:cs="Times New Roman"/>
          <w:noProof/>
          <w:sz w:val="24"/>
          <w:szCs w:val="24"/>
          <w:lang w:val="en-US"/>
        </w:rPr>
        <w:t xml:space="preserve">Pacher, P., &amp; Mechoulam, R. (2011). Is lipid signaling through cannabinoid 2 receptors part of a protective system? </w:t>
      </w:r>
      <w:r w:rsidRPr="00BF3C5D">
        <w:rPr>
          <w:rFonts w:ascii="Times New Roman" w:hAnsi="Times New Roman" w:cs="Times New Roman"/>
          <w:i/>
          <w:iCs/>
          <w:noProof/>
          <w:sz w:val="24"/>
          <w:szCs w:val="24"/>
        </w:rPr>
        <w:t>Progress in Lipid Research</w:t>
      </w:r>
      <w:r w:rsidRPr="00BF3C5D">
        <w:rPr>
          <w:rFonts w:ascii="Times New Roman" w:hAnsi="Times New Roman" w:cs="Times New Roman"/>
          <w:noProof/>
          <w:sz w:val="24"/>
          <w:szCs w:val="24"/>
        </w:rPr>
        <w:t xml:space="preserve">, </w:t>
      </w:r>
      <w:r w:rsidRPr="00BF3C5D">
        <w:rPr>
          <w:rFonts w:ascii="Times New Roman" w:hAnsi="Times New Roman" w:cs="Times New Roman"/>
          <w:i/>
          <w:iCs/>
          <w:noProof/>
          <w:sz w:val="24"/>
          <w:szCs w:val="24"/>
        </w:rPr>
        <w:t>50</w:t>
      </w:r>
      <w:r w:rsidRPr="00BF3C5D">
        <w:rPr>
          <w:rFonts w:ascii="Times New Roman" w:hAnsi="Times New Roman" w:cs="Times New Roman"/>
          <w:noProof/>
          <w:sz w:val="24"/>
          <w:szCs w:val="24"/>
        </w:rPr>
        <w:t>(2), 193–211. https://doi.org/10.1016/j.plipres.2011.01.001</w:t>
      </w:r>
    </w:p>
    <w:p w14:paraId="131A175E"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rPr>
        <w:t xml:space="preserve">Pazos, M. R., Cinquina, V., Gómez, A., Layunta, R., Santos, M., Fernández-Ruiz, J., &amp; Martínez-Orgado, J. (2012). </w:t>
      </w:r>
      <w:r w:rsidRPr="00BF3C5D">
        <w:rPr>
          <w:rFonts w:ascii="Times New Roman" w:hAnsi="Times New Roman" w:cs="Times New Roman"/>
          <w:noProof/>
          <w:sz w:val="24"/>
          <w:szCs w:val="24"/>
          <w:lang w:val="en-US"/>
        </w:rPr>
        <w:t xml:space="preserve">Cannabidiol administration after hypoxia–ischemia to newborn rats reduces long-term brain injury and restores neurobehavioral function. </w:t>
      </w:r>
      <w:r w:rsidRPr="00BF3C5D">
        <w:rPr>
          <w:rFonts w:ascii="Times New Roman" w:hAnsi="Times New Roman" w:cs="Times New Roman"/>
          <w:i/>
          <w:iCs/>
          <w:noProof/>
          <w:sz w:val="24"/>
          <w:szCs w:val="24"/>
          <w:lang w:val="en-US"/>
        </w:rPr>
        <w:t>Neuropharmacology</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63</w:t>
      </w:r>
      <w:r w:rsidRPr="00BF3C5D">
        <w:rPr>
          <w:rFonts w:ascii="Times New Roman" w:hAnsi="Times New Roman" w:cs="Times New Roman"/>
          <w:noProof/>
          <w:sz w:val="24"/>
          <w:szCs w:val="24"/>
          <w:lang w:val="en-US"/>
        </w:rPr>
        <w:t>(5), 776–783. https://doi.org/10.1016/j.neuropharm.2012.05.034</w:t>
      </w:r>
    </w:p>
    <w:p w14:paraId="6AFF3242" w14:textId="77777777" w:rsidR="008250C4" w:rsidRPr="008D1177"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lang w:val="en-US"/>
        </w:rPr>
        <w:t xml:space="preserve">Picone, R. P., &amp; Kendall, D. A. (2015). Minireview: From the Bench, Toward the Clinic: Therapeutic Opportunities for Cannabinoid Receptor Modulation. </w:t>
      </w:r>
      <w:r w:rsidRPr="008D1177">
        <w:rPr>
          <w:rFonts w:ascii="Times New Roman" w:hAnsi="Times New Roman" w:cs="Times New Roman"/>
          <w:i/>
          <w:iCs/>
          <w:noProof/>
          <w:sz w:val="24"/>
          <w:szCs w:val="24"/>
          <w:lang w:val="en-US"/>
        </w:rPr>
        <w:t>Molecular Endocrinology</w:t>
      </w:r>
      <w:r w:rsidRPr="008D1177">
        <w:rPr>
          <w:rFonts w:ascii="Times New Roman" w:hAnsi="Times New Roman" w:cs="Times New Roman"/>
          <w:noProof/>
          <w:sz w:val="24"/>
          <w:szCs w:val="24"/>
          <w:lang w:val="en-US"/>
        </w:rPr>
        <w:t xml:space="preserve">, </w:t>
      </w:r>
      <w:r w:rsidRPr="008D1177">
        <w:rPr>
          <w:rFonts w:ascii="Times New Roman" w:hAnsi="Times New Roman" w:cs="Times New Roman"/>
          <w:i/>
          <w:iCs/>
          <w:noProof/>
          <w:sz w:val="24"/>
          <w:szCs w:val="24"/>
          <w:lang w:val="en-US"/>
        </w:rPr>
        <w:t>29</w:t>
      </w:r>
      <w:r w:rsidRPr="008D1177">
        <w:rPr>
          <w:rFonts w:ascii="Times New Roman" w:hAnsi="Times New Roman" w:cs="Times New Roman"/>
          <w:noProof/>
          <w:sz w:val="24"/>
          <w:szCs w:val="24"/>
          <w:lang w:val="en-US"/>
        </w:rPr>
        <w:t>(6), 801–813. https://doi.org/10.1210/me.2015-1062</w:t>
      </w:r>
    </w:p>
    <w:p w14:paraId="5B380842"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8D1177">
        <w:rPr>
          <w:rFonts w:ascii="Times New Roman" w:hAnsi="Times New Roman" w:cs="Times New Roman"/>
          <w:noProof/>
          <w:sz w:val="24"/>
          <w:szCs w:val="24"/>
          <w:lang w:val="en-US"/>
        </w:rPr>
        <w:t xml:space="preserve">Portier, M., Rinaldi-Carmona, M., Pecceu, F., Combes, T., Poinoit-Chazel, C., Calandra, B., … </w:t>
      </w:r>
      <w:r w:rsidRPr="00BF3C5D">
        <w:rPr>
          <w:rFonts w:ascii="Times New Roman" w:hAnsi="Times New Roman" w:cs="Times New Roman"/>
          <w:noProof/>
          <w:sz w:val="24"/>
          <w:szCs w:val="24"/>
          <w:lang w:val="en-US"/>
        </w:rPr>
        <w:t xml:space="preserve">Casellas, P. (1999). SR 144528, an antagonist for the peripheral cannabinoid receptor that behaves as an inverse agonist - PubMed. </w:t>
      </w:r>
      <w:r w:rsidRPr="00BF3C5D">
        <w:rPr>
          <w:rFonts w:ascii="Times New Roman" w:hAnsi="Times New Roman" w:cs="Times New Roman"/>
          <w:i/>
          <w:iCs/>
          <w:noProof/>
          <w:sz w:val="24"/>
          <w:szCs w:val="24"/>
          <w:lang w:val="en-US"/>
        </w:rPr>
        <w:t>Journal of Pharmacology and Experimental Therapeutics</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288</w:t>
      </w:r>
      <w:r w:rsidRPr="00BF3C5D">
        <w:rPr>
          <w:rFonts w:ascii="Times New Roman" w:hAnsi="Times New Roman" w:cs="Times New Roman"/>
          <w:noProof/>
          <w:sz w:val="24"/>
          <w:szCs w:val="24"/>
          <w:lang w:val="en-US"/>
        </w:rPr>
        <w:t>(2), 582–589.</w:t>
      </w:r>
    </w:p>
    <w:p w14:paraId="0FA1B69A"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lang w:val="en-US"/>
        </w:rPr>
        <w:t xml:space="preserve">Rhee, M.-H., &amp; Sang-Keun, K. (2002). SR144528 as Inverse Agonist of CB2 Cannabinoid Receptor. </w:t>
      </w:r>
      <w:r w:rsidRPr="00BF3C5D">
        <w:rPr>
          <w:rFonts w:ascii="Times New Roman" w:hAnsi="Times New Roman" w:cs="Times New Roman"/>
          <w:i/>
          <w:iCs/>
          <w:noProof/>
          <w:sz w:val="24"/>
          <w:szCs w:val="24"/>
          <w:lang w:val="en-US"/>
        </w:rPr>
        <w:t>Journal of Veterinary Science</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3</w:t>
      </w:r>
      <w:r w:rsidRPr="00BF3C5D">
        <w:rPr>
          <w:rFonts w:ascii="Times New Roman" w:hAnsi="Times New Roman" w:cs="Times New Roman"/>
          <w:noProof/>
          <w:sz w:val="24"/>
          <w:szCs w:val="24"/>
          <w:lang w:val="en-US"/>
        </w:rPr>
        <w:t>(3), 179–184.</w:t>
      </w:r>
    </w:p>
    <w:p w14:paraId="49E6F7A1"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lang w:val="en-US"/>
        </w:rPr>
        <w:t xml:space="preserve">Rinaldi-Carmona, M., Barth, F., Héaulme, M., Shire, D., Calandra, B., Congy, C., … Le Fur, G. (1994). SR141716A, a potent and selective antagonist of the brain </w:t>
      </w:r>
      <w:r w:rsidRPr="00BF3C5D">
        <w:rPr>
          <w:rFonts w:ascii="Times New Roman" w:hAnsi="Times New Roman" w:cs="Times New Roman"/>
          <w:noProof/>
          <w:sz w:val="24"/>
          <w:szCs w:val="24"/>
          <w:lang w:val="en-US"/>
        </w:rPr>
        <w:lastRenderedPageBreak/>
        <w:t xml:space="preserve">cannabinoid receptor. </w:t>
      </w:r>
      <w:r w:rsidRPr="00BF3C5D">
        <w:rPr>
          <w:rFonts w:ascii="Times New Roman" w:hAnsi="Times New Roman" w:cs="Times New Roman"/>
          <w:i/>
          <w:iCs/>
          <w:noProof/>
          <w:sz w:val="24"/>
          <w:szCs w:val="24"/>
          <w:lang w:val="en-US"/>
        </w:rPr>
        <w:t>FEBS Letters</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350</w:t>
      </w:r>
      <w:r w:rsidRPr="00BF3C5D">
        <w:rPr>
          <w:rFonts w:ascii="Times New Roman" w:hAnsi="Times New Roman" w:cs="Times New Roman"/>
          <w:noProof/>
          <w:sz w:val="24"/>
          <w:szCs w:val="24"/>
          <w:lang w:val="en-US"/>
        </w:rPr>
        <w:t>(2–3), 240–244. https://doi.org/10.1016/0014-5793(94)00773-X</w:t>
      </w:r>
    </w:p>
    <w:p w14:paraId="3CB6B27B"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lang w:val="en-US"/>
        </w:rPr>
        <w:t xml:space="preserve">Rinaldi-Carmona, M., Barth, F., Millan, J., Derocq, J. M., Casellas, P., Congy, C., … Le Fur, G. (1998). SR 144528, the first potent and selective antagonist of the CB2 cannabinoid receptor. </w:t>
      </w:r>
      <w:r w:rsidRPr="00BF3C5D">
        <w:rPr>
          <w:rFonts w:ascii="Times New Roman" w:hAnsi="Times New Roman" w:cs="Times New Roman"/>
          <w:i/>
          <w:iCs/>
          <w:noProof/>
          <w:sz w:val="24"/>
          <w:szCs w:val="24"/>
          <w:lang w:val="en-US"/>
        </w:rPr>
        <w:t>Journal of Pharmacology and Experimental Therapeutics</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284</w:t>
      </w:r>
      <w:r w:rsidRPr="00BF3C5D">
        <w:rPr>
          <w:rFonts w:ascii="Times New Roman" w:hAnsi="Times New Roman" w:cs="Times New Roman"/>
          <w:noProof/>
          <w:sz w:val="24"/>
          <w:szCs w:val="24"/>
          <w:lang w:val="en-US"/>
        </w:rPr>
        <w:t>(2), 644–650.</w:t>
      </w:r>
    </w:p>
    <w:p w14:paraId="47E9EE1A"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lang w:val="en-US"/>
        </w:rPr>
        <w:t xml:space="preserve">Ross, M. H., Pawlina, W., &amp; Negrete, J. H. (2007). </w:t>
      </w:r>
      <w:r w:rsidRPr="00BF3C5D">
        <w:rPr>
          <w:rFonts w:ascii="Times New Roman" w:hAnsi="Times New Roman" w:cs="Times New Roman"/>
          <w:i/>
          <w:iCs/>
          <w:noProof/>
          <w:sz w:val="24"/>
          <w:szCs w:val="24"/>
        </w:rPr>
        <w:t>Histología : texto y atlas color con biología celular y molecular</w:t>
      </w:r>
      <w:r w:rsidRPr="00BF3C5D">
        <w:rPr>
          <w:rFonts w:ascii="Times New Roman" w:hAnsi="Times New Roman" w:cs="Times New Roman"/>
          <w:noProof/>
          <w:sz w:val="24"/>
          <w:szCs w:val="24"/>
        </w:rPr>
        <w:t xml:space="preserve">. </w:t>
      </w:r>
      <w:r w:rsidRPr="00BF3C5D">
        <w:rPr>
          <w:rFonts w:ascii="Times New Roman" w:hAnsi="Times New Roman" w:cs="Times New Roman"/>
          <w:noProof/>
          <w:sz w:val="24"/>
          <w:szCs w:val="24"/>
          <w:lang w:val="en-US"/>
        </w:rPr>
        <w:t>Médica Panamericana.</w:t>
      </w:r>
    </w:p>
    <w:p w14:paraId="746037FB"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lang w:val="en-US"/>
        </w:rPr>
        <w:t xml:space="preserve">Turcotte, C., Blanchet, M.-R., Laviolette, M., &amp; Flamand, N. (2016). The CB2 receptor and its role as a regulator of inflammation. </w:t>
      </w:r>
      <w:r w:rsidRPr="00BF3C5D">
        <w:rPr>
          <w:rFonts w:ascii="Times New Roman" w:hAnsi="Times New Roman" w:cs="Times New Roman"/>
          <w:i/>
          <w:iCs/>
          <w:noProof/>
          <w:sz w:val="24"/>
          <w:szCs w:val="24"/>
          <w:lang w:val="en-US"/>
        </w:rPr>
        <w:t>Cellular and Molecular Life Sciences : CMLS</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73</w:t>
      </w:r>
      <w:r w:rsidRPr="00BF3C5D">
        <w:rPr>
          <w:rFonts w:ascii="Times New Roman" w:hAnsi="Times New Roman" w:cs="Times New Roman"/>
          <w:noProof/>
          <w:sz w:val="24"/>
          <w:szCs w:val="24"/>
          <w:lang w:val="en-US"/>
        </w:rPr>
        <w:t>(23), 4449–4470. https://doi.org/10.1007/s00018-016-2300-4</w:t>
      </w:r>
    </w:p>
    <w:p w14:paraId="343AF3D3" w14:textId="639C8ABA" w:rsidR="0087757B" w:rsidRPr="00BF3C5D" w:rsidRDefault="0087757B" w:rsidP="00BF3C5D">
      <w:pPr>
        <w:spacing w:before="120" w:after="120" w:line="360" w:lineRule="auto"/>
        <w:jc w:val="both"/>
        <w:rPr>
          <w:rFonts w:ascii="Times New Roman" w:hAnsi="Times New Roman" w:cs="Times New Roman"/>
          <w:sz w:val="24"/>
          <w:szCs w:val="24"/>
          <w:lang w:val="en-US"/>
        </w:rPr>
      </w:pPr>
      <w:r w:rsidRPr="00BF3C5D">
        <w:rPr>
          <w:rFonts w:ascii="Times New Roman" w:hAnsi="Times New Roman" w:cs="Times New Roman"/>
          <w:sz w:val="24"/>
          <w:szCs w:val="24"/>
          <w:lang w:val="en-US"/>
        </w:rPr>
        <w:fldChar w:fldCharType="end"/>
      </w:r>
    </w:p>
    <w:p w14:paraId="6887D94A" w14:textId="3EA7D336" w:rsidR="0087757B" w:rsidRPr="00BF3C5D" w:rsidRDefault="0087757B" w:rsidP="00BF3C5D">
      <w:pPr>
        <w:spacing w:after="120" w:line="360" w:lineRule="auto"/>
        <w:rPr>
          <w:rFonts w:ascii="Times New Roman" w:hAnsi="Times New Roman" w:cs="Times New Roman"/>
          <w:sz w:val="24"/>
          <w:szCs w:val="24"/>
          <w:lang w:val="en-US"/>
        </w:rPr>
      </w:pPr>
    </w:p>
    <w:p w14:paraId="475E849A" w14:textId="771923C8" w:rsidR="0087757B" w:rsidRPr="00BF3C5D" w:rsidRDefault="0087757B" w:rsidP="00BF3C5D">
      <w:pPr>
        <w:spacing w:after="120" w:line="360" w:lineRule="auto"/>
        <w:ind w:left="708" w:hanging="708"/>
        <w:rPr>
          <w:rFonts w:ascii="Times New Roman" w:hAnsi="Times New Roman" w:cs="Times New Roman"/>
          <w:sz w:val="24"/>
          <w:szCs w:val="24"/>
          <w:lang w:val="en-US"/>
        </w:rPr>
      </w:pPr>
    </w:p>
    <w:sectPr w:rsidR="0087757B" w:rsidRPr="00BF3C5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7B5ADA3D" w14:textId="77777777" w:rsidR="0069092F" w:rsidRPr="00562846" w:rsidRDefault="001F231D" w:rsidP="00B11E12">
      <w:pPr>
        <w:rPr>
          <w:lang w:val="en-US"/>
        </w:rPr>
      </w:pPr>
      <w:r>
        <w:rPr>
          <w:rStyle w:val="CommentReference"/>
        </w:rPr>
        <w:annotationRef/>
      </w:r>
      <w:r w:rsidR="0069092F" w:rsidRPr="00562846">
        <w:rPr>
          <w:sz w:val="20"/>
          <w:szCs w:val="20"/>
          <w:lang w:val="en-US"/>
        </w:rPr>
        <w:t xml:space="preserve">Clarification: Do the authors mean that malaria is </w:t>
      </w:r>
      <w:r w:rsidR="0069092F" w:rsidRPr="00562846">
        <w:rPr>
          <w:i/>
          <w:iCs/>
          <w:sz w:val="20"/>
          <w:szCs w:val="20"/>
          <w:lang w:val="en-US"/>
        </w:rPr>
        <w:t xml:space="preserve">the </w:t>
      </w:r>
      <w:r w:rsidR="0069092F" w:rsidRPr="00562846">
        <w:rPr>
          <w:sz w:val="20"/>
          <w:szCs w:val="20"/>
          <w:lang w:val="en-US"/>
        </w:rPr>
        <w:t xml:space="preserve">most important parasitic disease, or that it is </w:t>
      </w:r>
      <w:r w:rsidR="0069092F" w:rsidRPr="00562846">
        <w:rPr>
          <w:i/>
          <w:iCs/>
          <w:sz w:val="20"/>
          <w:szCs w:val="20"/>
          <w:lang w:val="en-US"/>
        </w:rPr>
        <w:t xml:space="preserve">a </w:t>
      </w:r>
      <w:r w:rsidR="0069092F" w:rsidRPr="00562846">
        <w:rPr>
          <w:sz w:val="20"/>
          <w:szCs w:val="20"/>
          <w:lang w:val="en-US"/>
        </w:rPr>
        <w:t>most important parasitic disease? In case of the latter: change to ' due to its high impact'.</w:t>
      </w:r>
    </w:p>
  </w:comment>
  <w:comment w:id="2" w:author="Author" w:initials="A">
    <w:p w14:paraId="60CF2AD8" w14:textId="77777777" w:rsidR="00BA31F4" w:rsidRPr="00562846" w:rsidRDefault="00BA31F4" w:rsidP="00FF6169">
      <w:pPr>
        <w:rPr>
          <w:lang w:val="en-US"/>
        </w:rPr>
      </w:pPr>
      <w:r>
        <w:rPr>
          <w:rStyle w:val="CommentReference"/>
        </w:rPr>
        <w:annotationRef/>
      </w:r>
      <w:r w:rsidRPr="00562846">
        <w:rPr>
          <w:sz w:val="20"/>
          <w:szCs w:val="20"/>
          <w:lang w:val="en-US"/>
        </w:rPr>
        <w:t>blood-brain barrier?</w:t>
      </w:r>
    </w:p>
  </w:comment>
  <w:comment w:id="4" w:author="Author" w:initials="A">
    <w:p w14:paraId="7EFF1A59" w14:textId="7530A325" w:rsidR="00B825AF" w:rsidRPr="00562846" w:rsidRDefault="00B825AF" w:rsidP="00062118">
      <w:pPr>
        <w:rPr>
          <w:lang w:val="en-US"/>
        </w:rPr>
      </w:pPr>
      <w:r>
        <w:rPr>
          <w:rStyle w:val="CommentReference"/>
        </w:rPr>
        <w:annotationRef/>
      </w:r>
      <w:r w:rsidRPr="00562846">
        <w:rPr>
          <w:sz w:val="20"/>
          <w:szCs w:val="20"/>
          <w:lang w:val="en-US"/>
        </w:rPr>
        <w:t>Does this concern Ki values mentioned earlier? If so, please review consistency of the use of italics</w:t>
      </w:r>
      <w:r w:rsidR="00562846">
        <w:rPr>
          <w:sz w:val="20"/>
          <w:szCs w:val="20"/>
          <w:lang w:val="en-US"/>
        </w:rPr>
        <w:t xml:space="preserve"> and subscript</w:t>
      </w:r>
      <w:r w:rsidRPr="00562846">
        <w:rPr>
          <w:sz w:val="20"/>
          <w:szCs w:val="20"/>
          <w:lang w:val="en-US"/>
        </w:rPr>
        <w:t xml:space="preserve">. </w:t>
      </w:r>
    </w:p>
  </w:comment>
  <w:comment w:id="5" w:author="Author" w:initials="A">
    <w:p w14:paraId="5EAAE1A5" w14:textId="1BA2B894" w:rsidR="0069092F" w:rsidRPr="00562846" w:rsidRDefault="00673FD5" w:rsidP="00EE2852">
      <w:pPr>
        <w:rPr>
          <w:lang w:val="en-US"/>
        </w:rPr>
      </w:pPr>
      <w:r>
        <w:rPr>
          <w:rStyle w:val="CommentReference"/>
        </w:rPr>
        <w:annotationRef/>
      </w:r>
      <w:r w:rsidR="0069092F" w:rsidRPr="00562846">
        <w:rPr>
          <w:sz w:val="20"/>
          <w:szCs w:val="20"/>
          <w:lang w:val="en-US"/>
        </w:rPr>
        <w:t>Clarification: Do the authors mean version 1.3 or were several versions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5ADA3D" w15:done="1"/>
  <w15:commentEx w15:paraId="60CF2AD8" w15:done="1"/>
  <w15:commentEx w15:paraId="7EFF1A59" w15:done="0"/>
  <w15:commentEx w15:paraId="5EAAE1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5ADA3D" w16cid:durableId="26309B85"/>
  <w16cid:commentId w16cid:paraId="60CF2AD8" w16cid:durableId="2630B672"/>
  <w16cid:commentId w16cid:paraId="7EFF1A59" w16cid:durableId="265840AE"/>
  <w16cid:commentId w16cid:paraId="5EAAE1A5" w16cid:durableId="2630BB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E518B" w14:textId="77777777" w:rsidR="00151502" w:rsidRDefault="00151502" w:rsidP="00781847">
      <w:r>
        <w:separator/>
      </w:r>
    </w:p>
  </w:endnote>
  <w:endnote w:type="continuationSeparator" w:id="0">
    <w:p w14:paraId="1638A743" w14:textId="77777777" w:rsidR="00151502" w:rsidRDefault="00151502" w:rsidP="00781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5FF2C" w14:textId="77777777" w:rsidR="00151502" w:rsidRDefault="00151502" w:rsidP="00781847">
      <w:r>
        <w:separator/>
      </w:r>
    </w:p>
  </w:footnote>
  <w:footnote w:type="continuationSeparator" w:id="0">
    <w:p w14:paraId="7F387816" w14:textId="77777777" w:rsidR="00151502" w:rsidRDefault="00151502" w:rsidP="007818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032A2"/>
    <w:multiLevelType w:val="hybridMultilevel"/>
    <w:tmpl w:val="711CA444"/>
    <w:lvl w:ilvl="0" w:tplc="7D6AA82E">
      <w:start w:val="16"/>
      <w:numFmt w:val="bullet"/>
      <w:lvlText w:val="-"/>
      <w:lvlJc w:val="left"/>
      <w:pPr>
        <w:ind w:left="720" w:hanging="360"/>
      </w:pPr>
      <w:rPr>
        <w:rFonts w:ascii="Arial Narrow" w:eastAsia="Calibri" w:hAnsi="Arial Narrow"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417359"/>
    <w:multiLevelType w:val="multilevel"/>
    <w:tmpl w:val="D314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013A5A"/>
    <w:multiLevelType w:val="multilevel"/>
    <w:tmpl w:val="8CA8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2331232">
    <w:abstractNumId w:val="0"/>
  </w:num>
  <w:num w:numId="2" w16cid:durableId="1320839523">
    <w:abstractNumId w:val="1"/>
  </w:num>
  <w:num w:numId="3" w16cid:durableId="766384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7B"/>
    <w:rsid w:val="00037B1A"/>
    <w:rsid w:val="0011164C"/>
    <w:rsid w:val="00124E7C"/>
    <w:rsid w:val="001314B6"/>
    <w:rsid w:val="00141866"/>
    <w:rsid w:val="00151502"/>
    <w:rsid w:val="001E6B00"/>
    <w:rsid w:val="001F231D"/>
    <w:rsid w:val="002375CA"/>
    <w:rsid w:val="0029713F"/>
    <w:rsid w:val="002F2F92"/>
    <w:rsid w:val="00312FE7"/>
    <w:rsid w:val="003162E6"/>
    <w:rsid w:val="00361795"/>
    <w:rsid w:val="003C33F4"/>
    <w:rsid w:val="003D0936"/>
    <w:rsid w:val="003D7816"/>
    <w:rsid w:val="003F6C97"/>
    <w:rsid w:val="004065C6"/>
    <w:rsid w:val="00452FDF"/>
    <w:rsid w:val="00465DE5"/>
    <w:rsid w:val="00494C20"/>
    <w:rsid w:val="004D5FDE"/>
    <w:rsid w:val="00560F91"/>
    <w:rsid w:val="00562846"/>
    <w:rsid w:val="005C51E5"/>
    <w:rsid w:val="005F195E"/>
    <w:rsid w:val="00651437"/>
    <w:rsid w:val="00673FD5"/>
    <w:rsid w:val="0069092F"/>
    <w:rsid w:val="00767ECD"/>
    <w:rsid w:val="00771671"/>
    <w:rsid w:val="00781847"/>
    <w:rsid w:val="00785514"/>
    <w:rsid w:val="007C1651"/>
    <w:rsid w:val="007D187D"/>
    <w:rsid w:val="008250C4"/>
    <w:rsid w:val="00836F5E"/>
    <w:rsid w:val="0085073B"/>
    <w:rsid w:val="00861E3A"/>
    <w:rsid w:val="0087757B"/>
    <w:rsid w:val="008B716B"/>
    <w:rsid w:val="008D1177"/>
    <w:rsid w:val="008D5781"/>
    <w:rsid w:val="0092232F"/>
    <w:rsid w:val="0092791B"/>
    <w:rsid w:val="00984C6E"/>
    <w:rsid w:val="009A094C"/>
    <w:rsid w:val="009A11C5"/>
    <w:rsid w:val="00A32BB5"/>
    <w:rsid w:val="00A51878"/>
    <w:rsid w:val="00A86A41"/>
    <w:rsid w:val="00AF08C4"/>
    <w:rsid w:val="00B825AF"/>
    <w:rsid w:val="00BA31F4"/>
    <w:rsid w:val="00BC056C"/>
    <w:rsid w:val="00BC4402"/>
    <w:rsid w:val="00BF3C5D"/>
    <w:rsid w:val="00C52E77"/>
    <w:rsid w:val="00CA52B0"/>
    <w:rsid w:val="00CD675B"/>
    <w:rsid w:val="00D35CD5"/>
    <w:rsid w:val="00D4480D"/>
    <w:rsid w:val="00D55169"/>
    <w:rsid w:val="00D60D41"/>
    <w:rsid w:val="00D6381E"/>
    <w:rsid w:val="00E52275"/>
    <w:rsid w:val="00E85C59"/>
    <w:rsid w:val="00F468B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C486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7757B"/>
    <w:pPr>
      <w:widowControl w:val="0"/>
      <w:autoSpaceDE w:val="0"/>
      <w:autoSpaceDN w:val="0"/>
      <w:spacing w:after="0" w:line="240" w:lineRule="auto"/>
    </w:pPr>
    <w:rPr>
      <w:rFonts w:ascii="Calibri" w:eastAsia="Calibri" w:hAnsi="Calibri" w:cs="Calibri"/>
      <w:lang w:eastAsia="es-ES" w:bidi="es-ES"/>
    </w:rPr>
  </w:style>
  <w:style w:type="paragraph" w:styleId="Heading1">
    <w:name w:val="heading 1"/>
    <w:basedOn w:val="Normal"/>
    <w:next w:val="Normal"/>
    <w:link w:val="Heading1Char"/>
    <w:uiPriority w:val="9"/>
    <w:qFormat/>
    <w:rsid w:val="00BF3C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2E7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Cos"/>
    <w:link w:val="Heading3Char"/>
    <w:semiHidden/>
    <w:unhideWhenUsed/>
    <w:qFormat/>
    <w:rsid w:val="0087757B"/>
    <w:pPr>
      <w:keepNext/>
      <w:spacing w:before="240" w:after="60" w:line="240" w:lineRule="auto"/>
      <w:outlineLvl w:val="2"/>
    </w:pPr>
    <w:rPr>
      <w:rFonts w:ascii="Arial" w:eastAsia="Times New Roman" w:hAnsi="Arial" w:cs="Arial Unicode MS"/>
      <w:b/>
      <w:bCs/>
      <w:color w:val="000000"/>
      <w:sz w:val="26"/>
      <w:szCs w:val="26"/>
      <w:u w:color="000000"/>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7757B"/>
    <w:rPr>
      <w:rFonts w:ascii="Arial" w:eastAsia="Times New Roman" w:hAnsi="Arial" w:cs="Arial Unicode MS"/>
      <w:b/>
      <w:bCs/>
      <w:color w:val="000000"/>
      <w:sz w:val="26"/>
      <w:szCs w:val="26"/>
      <w:u w:color="000000"/>
      <w:lang w:val="es-ES_tradnl" w:eastAsia="es-ES"/>
    </w:rPr>
  </w:style>
  <w:style w:type="paragraph" w:styleId="ListParagraph">
    <w:name w:val="List Paragraph"/>
    <w:basedOn w:val="Normal"/>
    <w:uiPriority w:val="34"/>
    <w:qFormat/>
    <w:rsid w:val="0087757B"/>
    <w:pPr>
      <w:ind w:left="720"/>
      <w:contextualSpacing/>
    </w:pPr>
  </w:style>
  <w:style w:type="character" w:styleId="Hyperlink">
    <w:name w:val="Hyperlink"/>
    <w:basedOn w:val="DefaultParagraphFont"/>
    <w:uiPriority w:val="99"/>
    <w:semiHidden/>
    <w:unhideWhenUsed/>
    <w:rsid w:val="0087757B"/>
    <w:rPr>
      <w:color w:val="0000FF"/>
      <w:u w:val="single"/>
    </w:rPr>
  </w:style>
  <w:style w:type="character" w:styleId="Emphasis">
    <w:name w:val="Emphasis"/>
    <w:basedOn w:val="DefaultParagraphFont"/>
    <w:uiPriority w:val="20"/>
    <w:qFormat/>
    <w:rsid w:val="0087757B"/>
    <w:rPr>
      <w:i/>
      <w:iCs/>
    </w:rPr>
  </w:style>
  <w:style w:type="paragraph" w:customStyle="1" w:styleId="p">
    <w:name w:val="p"/>
    <w:basedOn w:val="Normal"/>
    <w:rsid w:val="0087757B"/>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table" w:styleId="TableGrid">
    <w:name w:val="Table Grid"/>
    <w:basedOn w:val="TableNormal"/>
    <w:uiPriority w:val="39"/>
    <w:rsid w:val="0087757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7757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757B"/>
    <w:rPr>
      <w:rFonts w:ascii="Segoe UI" w:eastAsia="Calibri" w:hAnsi="Segoe UI" w:cs="Segoe UI"/>
      <w:sz w:val="18"/>
      <w:szCs w:val="18"/>
      <w:lang w:eastAsia="es-ES" w:bidi="es-ES"/>
    </w:rPr>
  </w:style>
  <w:style w:type="character" w:styleId="CommentReference">
    <w:name w:val="annotation reference"/>
    <w:basedOn w:val="DefaultParagraphFont"/>
    <w:uiPriority w:val="99"/>
    <w:semiHidden/>
    <w:unhideWhenUsed/>
    <w:rsid w:val="0087757B"/>
    <w:rPr>
      <w:sz w:val="16"/>
      <w:szCs w:val="16"/>
    </w:rPr>
  </w:style>
  <w:style w:type="paragraph" w:styleId="CommentText">
    <w:name w:val="annotation text"/>
    <w:basedOn w:val="Normal"/>
    <w:link w:val="CommentTextChar"/>
    <w:uiPriority w:val="99"/>
    <w:unhideWhenUsed/>
    <w:rsid w:val="0087757B"/>
    <w:rPr>
      <w:sz w:val="20"/>
      <w:szCs w:val="20"/>
    </w:rPr>
  </w:style>
  <w:style w:type="character" w:customStyle="1" w:styleId="CommentTextChar">
    <w:name w:val="Comment Text Char"/>
    <w:basedOn w:val="DefaultParagraphFont"/>
    <w:link w:val="CommentText"/>
    <w:uiPriority w:val="99"/>
    <w:rsid w:val="0087757B"/>
    <w:rPr>
      <w:rFonts w:ascii="Calibri" w:eastAsia="Calibri" w:hAnsi="Calibri" w:cs="Calibri"/>
      <w:sz w:val="20"/>
      <w:szCs w:val="20"/>
      <w:lang w:eastAsia="es-ES" w:bidi="es-ES"/>
    </w:rPr>
  </w:style>
  <w:style w:type="paragraph" w:styleId="CommentSubject">
    <w:name w:val="annotation subject"/>
    <w:basedOn w:val="CommentText"/>
    <w:next w:val="CommentText"/>
    <w:link w:val="CommentSubjectChar"/>
    <w:uiPriority w:val="99"/>
    <w:semiHidden/>
    <w:unhideWhenUsed/>
    <w:rsid w:val="0087757B"/>
    <w:rPr>
      <w:b/>
      <w:bCs/>
    </w:rPr>
  </w:style>
  <w:style w:type="character" w:customStyle="1" w:styleId="CommentSubjectChar">
    <w:name w:val="Comment Subject Char"/>
    <w:basedOn w:val="CommentTextChar"/>
    <w:link w:val="CommentSubject"/>
    <w:uiPriority w:val="99"/>
    <w:semiHidden/>
    <w:rsid w:val="0087757B"/>
    <w:rPr>
      <w:rFonts w:ascii="Calibri" w:eastAsia="Calibri" w:hAnsi="Calibri" w:cs="Calibri"/>
      <w:b/>
      <w:bCs/>
      <w:sz w:val="20"/>
      <w:szCs w:val="20"/>
      <w:lang w:eastAsia="es-ES" w:bidi="es-ES"/>
    </w:rPr>
  </w:style>
  <w:style w:type="character" w:customStyle="1" w:styleId="id-label">
    <w:name w:val="id-label"/>
    <w:basedOn w:val="DefaultParagraphFont"/>
    <w:rsid w:val="0087757B"/>
  </w:style>
  <w:style w:type="character" w:styleId="Strong">
    <w:name w:val="Strong"/>
    <w:basedOn w:val="DefaultParagraphFont"/>
    <w:uiPriority w:val="22"/>
    <w:qFormat/>
    <w:rsid w:val="0087757B"/>
    <w:rPr>
      <w:b/>
      <w:bCs/>
    </w:rPr>
  </w:style>
  <w:style w:type="paragraph" w:styleId="Revision">
    <w:name w:val="Revision"/>
    <w:hidden/>
    <w:uiPriority w:val="99"/>
    <w:semiHidden/>
    <w:rsid w:val="0087757B"/>
    <w:pPr>
      <w:spacing w:after="0" w:line="240" w:lineRule="auto"/>
    </w:pPr>
    <w:rPr>
      <w:rFonts w:ascii="Calibri" w:eastAsia="Calibri" w:hAnsi="Calibri" w:cs="Calibri"/>
      <w:lang w:eastAsia="es-ES" w:bidi="es-ES"/>
    </w:rPr>
  </w:style>
  <w:style w:type="paragraph" w:customStyle="1" w:styleId="Cos">
    <w:name w:val="Cos"/>
    <w:rsid w:val="0087757B"/>
    <w:pPr>
      <w:spacing w:after="0" w:line="240" w:lineRule="auto"/>
    </w:pPr>
    <w:rPr>
      <w:rFonts w:ascii="Cambria" w:eastAsia="Cambria" w:hAnsi="Cambria" w:cs="Cambria"/>
      <w:color w:val="000000"/>
      <w:sz w:val="24"/>
      <w:szCs w:val="24"/>
      <w:u w:color="000000"/>
      <w:lang w:eastAsia="es-ES"/>
    </w:rPr>
  </w:style>
  <w:style w:type="paragraph" w:styleId="Header">
    <w:name w:val="header"/>
    <w:basedOn w:val="Normal"/>
    <w:link w:val="HeaderChar"/>
    <w:uiPriority w:val="99"/>
    <w:unhideWhenUsed/>
    <w:rsid w:val="0087757B"/>
    <w:pPr>
      <w:tabs>
        <w:tab w:val="center" w:pos="4252"/>
        <w:tab w:val="right" w:pos="8504"/>
      </w:tabs>
    </w:pPr>
  </w:style>
  <w:style w:type="character" w:customStyle="1" w:styleId="HeaderChar">
    <w:name w:val="Header Char"/>
    <w:basedOn w:val="DefaultParagraphFont"/>
    <w:link w:val="Header"/>
    <w:uiPriority w:val="99"/>
    <w:rsid w:val="0087757B"/>
    <w:rPr>
      <w:rFonts w:ascii="Calibri" w:eastAsia="Calibri" w:hAnsi="Calibri" w:cs="Calibri"/>
      <w:lang w:eastAsia="es-ES" w:bidi="es-ES"/>
    </w:rPr>
  </w:style>
  <w:style w:type="paragraph" w:styleId="Footer">
    <w:name w:val="footer"/>
    <w:basedOn w:val="Normal"/>
    <w:link w:val="FooterChar"/>
    <w:uiPriority w:val="99"/>
    <w:unhideWhenUsed/>
    <w:rsid w:val="0087757B"/>
    <w:pPr>
      <w:tabs>
        <w:tab w:val="center" w:pos="4252"/>
        <w:tab w:val="right" w:pos="8504"/>
      </w:tabs>
    </w:pPr>
  </w:style>
  <w:style w:type="character" w:customStyle="1" w:styleId="FooterChar">
    <w:name w:val="Footer Char"/>
    <w:basedOn w:val="DefaultParagraphFont"/>
    <w:link w:val="Footer"/>
    <w:uiPriority w:val="99"/>
    <w:rsid w:val="0087757B"/>
    <w:rPr>
      <w:rFonts w:ascii="Calibri" w:eastAsia="Calibri" w:hAnsi="Calibri" w:cs="Calibri"/>
      <w:lang w:eastAsia="es-ES" w:bidi="es-ES"/>
    </w:rPr>
  </w:style>
  <w:style w:type="character" w:customStyle="1" w:styleId="Heading1Char">
    <w:name w:val="Heading 1 Char"/>
    <w:basedOn w:val="DefaultParagraphFont"/>
    <w:link w:val="Heading1"/>
    <w:uiPriority w:val="9"/>
    <w:rsid w:val="00BF3C5D"/>
    <w:rPr>
      <w:rFonts w:asciiTheme="majorHAnsi" w:eastAsiaTheme="majorEastAsia" w:hAnsiTheme="majorHAnsi" w:cstheme="majorBidi"/>
      <w:color w:val="2F5496" w:themeColor="accent1" w:themeShade="BF"/>
      <w:sz w:val="32"/>
      <w:szCs w:val="32"/>
      <w:lang w:eastAsia="es-ES" w:bidi="es-ES"/>
    </w:rPr>
  </w:style>
  <w:style w:type="character" w:customStyle="1" w:styleId="Heading2Char">
    <w:name w:val="Heading 2 Char"/>
    <w:basedOn w:val="DefaultParagraphFont"/>
    <w:link w:val="Heading2"/>
    <w:uiPriority w:val="9"/>
    <w:rsid w:val="00C52E77"/>
    <w:rPr>
      <w:rFonts w:asciiTheme="majorHAnsi" w:eastAsiaTheme="majorEastAsia" w:hAnsiTheme="majorHAnsi" w:cstheme="majorBidi"/>
      <w:color w:val="2F5496" w:themeColor="accent1" w:themeShade="BF"/>
      <w:sz w:val="26"/>
      <w:szCs w:val="26"/>
      <w:lang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0A8019B152BA439D52346B604B2835" ma:contentTypeVersion="17" ma:contentTypeDescription="Create a new document." ma:contentTypeScope="" ma:versionID="cdeaa43e2c90619e67d5ecef2cbfe33c">
  <xsd:schema xmlns:xsd="http://www.w3.org/2001/XMLSchema" xmlns:xs="http://www.w3.org/2001/XMLSchema" xmlns:p="http://schemas.microsoft.com/office/2006/metadata/properties" xmlns:ns2="3f4703c7-a244-4ea4-bb71-6ceccf66c940" xmlns:ns3="f849ceac-be31-4242-ae1a-03d138484509" targetNamespace="http://schemas.microsoft.com/office/2006/metadata/properties" ma:root="true" ma:fieldsID="f10914ca3209dc6a0cc21505140a247b" ns2:_="" ns3:_="">
    <xsd:import namespace="3f4703c7-a244-4ea4-bb71-6ceccf66c940"/>
    <xsd:import namespace="f849ceac-be31-4242-ae1a-03d1384845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703c7-a244-4ea4-bb71-6ceccf66c9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5e65886-49d9-41b1-b86d-c9e4101664a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849ceac-be31-4242-ae1a-03d13848450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4bb5add-5c12-42a4-8f77-15c7eabc36e0}" ma:internalName="TaxCatchAll" ma:showField="CatchAllData" ma:web="f849ceac-be31-4242-ae1a-03d13848450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22418B-831E-44C3-B4A9-B1D59DC7F88F}">
  <ds:schemaRefs>
    <ds:schemaRef ds:uri="http://schemas.openxmlformats.org/officeDocument/2006/bibliography"/>
  </ds:schemaRefs>
</ds:datastoreItem>
</file>

<file path=customXml/itemProps2.xml><?xml version="1.0" encoding="utf-8"?>
<ds:datastoreItem xmlns:ds="http://schemas.openxmlformats.org/officeDocument/2006/customXml" ds:itemID="{1186DD9F-0DE8-4E54-88C2-6FB643615C12}">
  <ds:schemaRefs>
    <ds:schemaRef ds:uri="http://schemas.microsoft.com/sharepoint/v3/contenttype/forms"/>
  </ds:schemaRefs>
</ds:datastoreItem>
</file>

<file path=customXml/itemProps3.xml><?xml version="1.0" encoding="utf-8"?>
<ds:datastoreItem xmlns:ds="http://schemas.openxmlformats.org/officeDocument/2006/customXml" ds:itemID="{046ABB2F-21AA-4D2C-9751-A29BB77F31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4703c7-a244-4ea4-bb71-6ceccf66c940"/>
    <ds:schemaRef ds:uri="f849ceac-be31-4242-ae1a-03d1384845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21270</Words>
  <Characters>121239</Characters>
  <Application>Microsoft Office Word</Application>
  <DocSecurity>0</DocSecurity>
  <Lines>1010</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2022-09-12T11:56:00Z</dcterms:created>
  <dcterms:modified xsi:type="dcterms:W3CDTF">2022-09-12T11:56:00Z</dcterms:modified>
</cp:coreProperties>
</file>