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1DE8" w14:textId="77777777" w:rsidR="00A05BCF" w:rsidRDefault="008718CC" w:rsidP="0065645B">
      <w:pPr>
        <w:pStyle w:val="Heading"/>
      </w:pPr>
      <w:r>
        <w:t>Title</w:t>
      </w:r>
    </w:p>
    <w:p w14:paraId="32631763" w14:textId="107F58E9" w:rsidR="00A05BCF" w:rsidRPr="00BC039F" w:rsidRDefault="008718CC">
      <w:pPr>
        <w:spacing w:line="240" w:lineRule="auto"/>
        <w:contextualSpacing/>
        <w:jc w:val="center"/>
        <w:rPr>
          <w:rFonts w:ascii="Times New Roman" w:hAnsi="Times New Roman" w:cs="Times New Roman"/>
          <w:color w:val="4472C4" w:themeColor="accent1"/>
          <w:sz w:val="24"/>
          <w:szCs w:val="24"/>
        </w:rPr>
      </w:pPr>
      <w:r w:rsidRPr="00BC039F">
        <w:rPr>
          <w:rFonts w:ascii="Times New Roman" w:hAnsi="Times New Roman" w:cs="Times New Roman"/>
          <w:color w:val="4472C4" w:themeColor="accent1"/>
          <w:sz w:val="24"/>
          <w:szCs w:val="24"/>
        </w:rPr>
        <w:t xml:space="preserve">Carryover Effects </w:t>
      </w:r>
      <w:r w:rsidR="00F94324">
        <w:rPr>
          <w:rFonts w:ascii="Times New Roman" w:hAnsi="Times New Roman" w:cs="Times New Roman"/>
          <w:color w:val="4472C4" w:themeColor="accent1"/>
          <w:sz w:val="24"/>
          <w:szCs w:val="24"/>
        </w:rPr>
        <w:t>for</w:t>
      </w:r>
      <w:r w:rsidR="00BC039F" w:rsidRPr="00BC039F">
        <w:rPr>
          <w:rFonts w:ascii="Times New Roman" w:hAnsi="Times New Roman" w:cs="Times New Roman"/>
          <w:color w:val="4472C4" w:themeColor="accent1"/>
          <w:sz w:val="24"/>
          <w:szCs w:val="24"/>
        </w:rPr>
        <w:t xml:space="preserve"> Threat </w:t>
      </w:r>
      <w:r w:rsidRPr="00BC039F">
        <w:rPr>
          <w:rFonts w:ascii="Times New Roman" w:hAnsi="Times New Roman" w:cs="Times New Roman"/>
          <w:color w:val="4472C4" w:themeColor="accent1"/>
          <w:sz w:val="24"/>
          <w:szCs w:val="24"/>
        </w:rPr>
        <w:t>in the Dot-Probe Task</w:t>
      </w:r>
    </w:p>
    <w:p w14:paraId="1E84FD18" w14:textId="77777777" w:rsidR="00A05BCF" w:rsidRDefault="00A05BCF">
      <w:pPr>
        <w:spacing w:line="240" w:lineRule="auto"/>
        <w:contextualSpacing/>
        <w:jc w:val="center"/>
        <w:rPr>
          <w:rFonts w:ascii="Times New Roman" w:hAnsi="Times New Roman" w:cs="Times New Roman"/>
          <w:b/>
          <w:bCs/>
          <w:sz w:val="24"/>
          <w:szCs w:val="24"/>
        </w:rPr>
      </w:pPr>
    </w:p>
    <w:p w14:paraId="6EEE4A2C" w14:textId="77777777" w:rsidR="00A05BCF" w:rsidRDefault="008718CC" w:rsidP="0065645B">
      <w:pPr>
        <w:pStyle w:val="Heading"/>
      </w:pPr>
      <w:r>
        <w:t>Abstract</w:t>
      </w:r>
    </w:p>
    <w:p w14:paraId="46A06CA0" w14:textId="0F559946" w:rsidR="00A05BCF" w:rsidRDefault="008718CC">
      <w:pPr>
        <w:spacing w:line="240" w:lineRule="auto"/>
        <w:contextualSpacing/>
        <w:rPr>
          <w:rFonts w:ascii="Times New Roman" w:hAnsi="Times New Roman" w:cs="Times New Roman"/>
          <w:sz w:val="24"/>
          <w:szCs w:val="24"/>
        </w:rPr>
      </w:pPr>
      <w:r>
        <w:rPr>
          <w:rFonts w:ascii="Times New Roman" w:hAnsi="Times New Roman" w:cs="Times New Roman"/>
          <w:sz w:val="24"/>
          <w:szCs w:val="24"/>
        </w:rPr>
        <w:t>Threatening stimuli are often thought to have sufficient potency to bias attention, relative to neutral stimuli.  Researchers and clinicians opt for frequently used paradigms to measure such bias</w:t>
      </w:r>
      <w:r w:rsidR="009C1040">
        <w:rPr>
          <w:rFonts w:ascii="Times New Roman" w:hAnsi="Times New Roman" w:cs="Times New Roman"/>
          <w:sz w:val="24"/>
          <w:szCs w:val="24"/>
        </w:rPr>
        <w:t xml:space="preserve">, such as </w:t>
      </w:r>
      <w:r>
        <w:rPr>
          <w:rFonts w:ascii="Times New Roman" w:hAnsi="Times New Roman" w:cs="Times New Roman"/>
          <w:sz w:val="24"/>
          <w:szCs w:val="24"/>
        </w:rPr>
        <w:t>the dot-probe task.  Bias to threat in the dot-probe task is indicated by a congruency effect</w:t>
      </w:r>
      <w:r w:rsidR="009C1040">
        <w:rPr>
          <w:rFonts w:ascii="Times New Roman" w:hAnsi="Times New Roman" w:cs="Times New Roman"/>
          <w:sz w:val="24"/>
          <w:szCs w:val="24"/>
        </w:rPr>
        <w:t xml:space="preserve"> i.e.,</w:t>
      </w:r>
      <w:r>
        <w:rPr>
          <w:rFonts w:ascii="Times New Roman" w:hAnsi="Times New Roman" w:cs="Times New Roman"/>
          <w:sz w:val="24"/>
          <w:szCs w:val="24"/>
        </w:rPr>
        <w:t xml:space="preserve"> faster responses on congruent trials than incongruent trials (also referred to as attention capture).  However, recent studies have found that such congruency effects</w:t>
      </w:r>
      <w:r w:rsidR="00360E25">
        <w:rPr>
          <w:rFonts w:ascii="Times New Roman" w:hAnsi="Times New Roman" w:cs="Times New Roman"/>
          <w:sz w:val="24"/>
          <w:szCs w:val="24"/>
        </w:rPr>
        <w:t xml:space="preserve"> are small and </w:t>
      </w:r>
      <w:r>
        <w:rPr>
          <w:rFonts w:ascii="Times New Roman" w:hAnsi="Times New Roman" w:cs="Times New Roman"/>
          <w:sz w:val="24"/>
          <w:szCs w:val="24"/>
        </w:rPr>
        <w:t>suffer from poor internal reliability.  One</w:t>
      </w:r>
      <w:r w:rsidR="002725A5">
        <w:rPr>
          <w:rFonts w:ascii="Times New Roman" w:hAnsi="Times New Roman" w:cs="Times New Roman"/>
          <w:sz w:val="24"/>
          <w:szCs w:val="24"/>
        </w:rPr>
        <w:t xml:space="preserve"> </w:t>
      </w:r>
      <w:r w:rsidR="00360E25">
        <w:rPr>
          <w:rFonts w:ascii="Times New Roman" w:hAnsi="Times New Roman" w:cs="Times New Roman"/>
          <w:sz w:val="24"/>
          <w:szCs w:val="24"/>
        </w:rPr>
        <w:t xml:space="preserve">explanation to low effect sizes and </w:t>
      </w:r>
      <w:r w:rsidR="002725A5">
        <w:rPr>
          <w:rFonts w:ascii="Times New Roman" w:hAnsi="Times New Roman" w:cs="Times New Roman"/>
          <w:sz w:val="24"/>
          <w:szCs w:val="24"/>
        </w:rPr>
        <w:t xml:space="preserve">poor reliability is </w:t>
      </w:r>
      <w:r>
        <w:rPr>
          <w:rFonts w:ascii="Times New Roman" w:hAnsi="Times New Roman" w:cs="Times New Roman"/>
          <w:i/>
          <w:iCs/>
          <w:sz w:val="24"/>
          <w:szCs w:val="24"/>
        </w:rPr>
        <w:t>carryover effects</w:t>
      </w:r>
      <w:r>
        <w:rPr>
          <w:rFonts w:ascii="Times New Roman" w:hAnsi="Times New Roman" w:cs="Times New Roman"/>
          <w:sz w:val="24"/>
          <w:szCs w:val="24"/>
        </w:rPr>
        <w:t xml:space="preserve"> of threat – greater congruency effects on trials </w:t>
      </w:r>
      <w:r w:rsidR="009C1040">
        <w:rPr>
          <w:rFonts w:ascii="Times New Roman" w:hAnsi="Times New Roman" w:cs="Times New Roman"/>
          <w:color w:val="4472C4" w:themeColor="accent1"/>
          <w:sz w:val="24"/>
          <w:szCs w:val="24"/>
        </w:rPr>
        <w:t>following</w:t>
      </w:r>
      <w:r w:rsidRPr="0073151A">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a congruent trial relative to trials </w:t>
      </w:r>
      <w:r w:rsidR="009C1040">
        <w:rPr>
          <w:rFonts w:ascii="Times New Roman" w:hAnsi="Times New Roman" w:cs="Times New Roman"/>
          <w:sz w:val="24"/>
          <w:szCs w:val="24"/>
        </w:rPr>
        <w:t>following</w:t>
      </w:r>
      <w:r>
        <w:rPr>
          <w:rFonts w:ascii="Times New Roman" w:hAnsi="Times New Roman" w:cs="Times New Roman"/>
          <w:sz w:val="24"/>
          <w:szCs w:val="24"/>
        </w:rPr>
        <w:t xml:space="preserve"> an incongruent trial.  In the current study, we investigated carryover effects </w:t>
      </w:r>
      <w:r w:rsidR="00B27B7C">
        <w:rPr>
          <w:rFonts w:ascii="Times New Roman" w:hAnsi="Times New Roman" w:cs="Times New Roman"/>
          <w:sz w:val="24"/>
          <w:szCs w:val="24"/>
        </w:rPr>
        <w:t>of</w:t>
      </w:r>
      <w:r>
        <w:rPr>
          <w:rFonts w:ascii="Times New Roman" w:hAnsi="Times New Roman" w:cs="Times New Roman"/>
          <w:sz w:val="24"/>
          <w:szCs w:val="24"/>
        </w:rPr>
        <w:t xml:space="preserve"> threat</w:t>
      </w:r>
      <w:r w:rsidR="00B27B7C">
        <w:rPr>
          <w:rFonts w:ascii="Times New Roman" w:hAnsi="Times New Roman" w:cs="Times New Roman"/>
          <w:sz w:val="24"/>
          <w:szCs w:val="24"/>
        </w:rPr>
        <w:t xml:space="preserve"> with two large samples of healthy undergraduate students who completed a typical </w:t>
      </w:r>
      <w:r>
        <w:rPr>
          <w:rFonts w:ascii="Times New Roman" w:hAnsi="Times New Roman" w:cs="Times New Roman"/>
          <w:sz w:val="24"/>
          <w:szCs w:val="24"/>
        </w:rPr>
        <w:t xml:space="preserve">dot-probe </w:t>
      </w:r>
      <w:r w:rsidR="00B27B7C">
        <w:rPr>
          <w:rFonts w:ascii="Times New Roman" w:hAnsi="Times New Roman" w:cs="Times New Roman"/>
          <w:sz w:val="24"/>
          <w:szCs w:val="24"/>
        </w:rPr>
        <w:t xml:space="preserve">task.  </w:t>
      </w:r>
      <w:r>
        <w:rPr>
          <w:rFonts w:ascii="Times New Roman" w:hAnsi="Times New Roman" w:cs="Times New Roman"/>
          <w:sz w:val="24"/>
          <w:szCs w:val="24"/>
        </w:rPr>
        <w:t>Although we found a small</w:t>
      </w:r>
      <w:r w:rsidR="00760B39">
        <w:rPr>
          <w:rFonts w:ascii="Times New Roman" w:hAnsi="Times New Roman" w:cs="Times New Roman"/>
          <w:sz w:val="24"/>
          <w:szCs w:val="24"/>
        </w:rPr>
        <w:t xml:space="preserve"> </w:t>
      </w:r>
      <w:r>
        <w:rPr>
          <w:rFonts w:ascii="Times New Roman" w:hAnsi="Times New Roman" w:cs="Times New Roman"/>
          <w:sz w:val="24"/>
          <w:szCs w:val="24"/>
        </w:rPr>
        <w:t xml:space="preserve">congruency effect for fearful faces (Experiment 1, </w:t>
      </w:r>
      <w:r>
        <w:rPr>
          <w:rFonts w:ascii="Times New Roman" w:hAnsi="Times New Roman" w:cs="Times New Roman"/>
          <w:i/>
          <w:iCs/>
          <w:sz w:val="24"/>
          <w:szCs w:val="24"/>
        </w:rPr>
        <w:t>n</w:t>
      </w:r>
      <w:r>
        <w:rPr>
          <w:rFonts w:ascii="Times New Roman" w:hAnsi="Times New Roman" w:cs="Times New Roman"/>
          <w:sz w:val="24"/>
          <w:szCs w:val="24"/>
        </w:rPr>
        <w:t xml:space="preserve"> = 241</w:t>
      </w:r>
      <w:r w:rsidR="00F26986">
        <w:rPr>
          <w:rFonts w:ascii="Times New Roman" w:hAnsi="Times New Roman" w:cs="Times New Roman"/>
          <w:sz w:val="24"/>
          <w:szCs w:val="24"/>
        </w:rPr>
        <w:t>,</w:t>
      </w:r>
      <w:r w:rsidR="00760B39">
        <w:rPr>
          <w:rFonts w:ascii="Times New Roman" w:hAnsi="Times New Roman" w:cs="Times New Roman"/>
          <w:sz w:val="24"/>
          <w:szCs w:val="24"/>
        </w:rPr>
        <w:t xml:space="preserve"> </w:t>
      </w:r>
      <w:r w:rsidR="00905621">
        <w:rPr>
          <w:rFonts w:ascii="Times New Roman" w:hAnsi="Times New Roman" w:cs="Times New Roman"/>
          <w:i/>
          <w:iCs/>
          <w:sz w:val="24"/>
          <w:szCs w:val="24"/>
        </w:rPr>
        <w:t xml:space="preserve">d </w:t>
      </w:r>
      <w:r w:rsidR="00905621">
        <w:rPr>
          <w:rFonts w:ascii="Times New Roman" w:hAnsi="Times New Roman" w:cs="Times New Roman"/>
          <w:sz w:val="24"/>
          <w:szCs w:val="24"/>
        </w:rPr>
        <w:t>= 0.15</w:t>
      </w:r>
      <w:r>
        <w:rPr>
          <w:rFonts w:ascii="Times New Roman" w:hAnsi="Times New Roman" w:cs="Times New Roman"/>
          <w:sz w:val="24"/>
          <w:szCs w:val="24"/>
        </w:rPr>
        <w:t>) and</w:t>
      </w:r>
      <w:r w:rsidR="00B27B7C">
        <w:rPr>
          <w:rFonts w:ascii="Times New Roman" w:hAnsi="Times New Roman" w:cs="Times New Roman"/>
          <w:sz w:val="24"/>
          <w:szCs w:val="24"/>
        </w:rPr>
        <w:t xml:space="preserve"> a </w:t>
      </w:r>
      <w:r w:rsidR="00360E25">
        <w:rPr>
          <w:rFonts w:ascii="Times New Roman" w:hAnsi="Times New Roman" w:cs="Times New Roman"/>
          <w:sz w:val="24"/>
          <w:szCs w:val="24"/>
        </w:rPr>
        <w:t xml:space="preserve">reverse </w:t>
      </w:r>
      <w:r w:rsidR="00B27B7C">
        <w:rPr>
          <w:rFonts w:ascii="Times New Roman" w:hAnsi="Times New Roman" w:cs="Times New Roman"/>
          <w:sz w:val="24"/>
          <w:szCs w:val="24"/>
        </w:rPr>
        <w:t xml:space="preserve">congruency effect </w:t>
      </w:r>
      <w:r w:rsidR="002B5D4E">
        <w:rPr>
          <w:rFonts w:ascii="Times New Roman" w:hAnsi="Times New Roman" w:cs="Times New Roman"/>
          <w:sz w:val="24"/>
          <w:szCs w:val="24"/>
        </w:rPr>
        <w:t>for threatening</w:t>
      </w:r>
      <w:r>
        <w:rPr>
          <w:rFonts w:ascii="Times New Roman" w:hAnsi="Times New Roman" w:cs="Times New Roman"/>
          <w:sz w:val="24"/>
          <w:szCs w:val="24"/>
        </w:rPr>
        <w:t xml:space="preserve"> images, (Experiment 2, </w:t>
      </w:r>
      <w:r>
        <w:rPr>
          <w:rFonts w:ascii="Times New Roman" w:hAnsi="Times New Roman" w:cs="Times New Roman"/>
          <w:i/>
          <w:iCs/>
          <w:sz w:val="24"/>
          <w:szCs w:val="24"/>
        </w:rPr>
        <w:t xml:space="preserve">n </w:t>
      </w:r>
      <w:r>
        <w:rPr>
          <w:rFonts w:ascii="Times New Roman" w:hAnsi="Times New Roman" w:cs="Times New Roman"/>
          <w:sz w:val="24"/>
          <w:szCs w:val="24"/>
        </w:rPr>
        <w:t>= 82</w:t>
      </w:r>
      <w:r w:rsidR="00F26986">
        <w:rPr>
          <w:rFonts w:ascii="Times New Roman" w:hAnsi="Times New Roman" w:cs="Times New Roman"/>
          <w:sz w:val="24"/>
          <w:szCs w:val="24"/>
        </w:rPr>
        <w:t>,</w:t>
      </w:r>
      <w:r w:rsidR="00905621">
        <w:rPr>
          <w:rFonts w:ascii="Times New Roman" w:hAnsi="Times New Roman" w:cs="Times New Roman"/>
          <w:sz w:val="24"/>
          <w:szCs w:val="24"/>
        </w:rPr>
        <w:t xml:space="preserve"> </w:t>
      </w:r>
      <w:r w:rsidR="00905621">
        <w:rPr>
          <w:rFonts w:ascii="Times New Roman" w:hAnsi="Times New Roman" w:cs="Times New Roman"/>
          <w:i/>
          <w:iCs/>
          <w:sz w:val="24"/>
          <w:szCs w:val="24"/>
        </w:rPr>
        <w:t xml:space="preserve">d </w:t>
      </w:r>
      <w:r w:rsidR="00905621">
        <w:rPr>
          <w:rFonts w:ascii="Times New Roman" w:hAnsi="Times New Roman" w:cs="Times New Roman"/>
          <w:sz w:val="24"/>
          <w:szCs w:val="24"/>
        </w:rPr>
        <w:t>= 0.</w:t>
      </w:r>
      <w:r w:rsidR="00B36EB8">
        <w:rPr>
          <w:rFonts w:ascii="Times New Roman" w:hAnsi="Times New Roman" w:cs="Times New Roman"/>
          <w:sz w:val="24"/>
          <w:szCs w:val="24"/>
        </w:rPr>
        <w:t>11</w:t>
      </w:r>
      <w:r>
        <w:rPr>
          <w:rFonts w:ascii="Times New Roman" w:hAnsi="Times New Roman" w:cs="Times New Roman"/>
          <w:sz w:val="24"/>
          <w:szCs w:val="24"/>
        </w:rPr>
        <w:t xml:space="preserve">) </w:t>
      </w:r>
      <w:r w:rsidR="009C1040">
        <w:rPr>
          <w:rFonts w:ascii="Times New Roman" w:hAnsi="Times New Roman" w:cs="Times New Roman"/>
          <w:sz w:val="24"/>
          <w:szCs w:val="24"/>
        </w:rPr>
        <w:t xml:space="preserve">whereas </w:t>
      </w:r>
      <w:r>
        <w:rPr>
          <w:rFonts w:ascii="Times New Roman" w:hAnsi="Times New Roman" w:cs="Times New Roman"/>
          <w:sz w:val="24"/>
          <w:szCs w:val="24"/>
        </w:rPr>
        <w:t>no carryover effects for threat were observed</w:t>
      </w:r>
      <w:r w:rsidR="002B5D4E">
        <w:rPr>
          <w:rFonts w:ascii="Times New Roman" w:hAnsi="Times New Roman" w:cs="Times New Roman"/>
          <w:sz w:val="24"/>
          <w:szCs w:val="24"/>
        </w:rPr>
        <w:t xml:space="preserve"> in either case</w:t>
      </w:r>
      <w:r>
        <w:rPr>
          <w:rFonts w:ascii="Times New Roman" w:hAnsi="Times New Roman" w:cs="Times New Roman"/>
          <w:sz w:val="24"/>
          <w:szCs w:val="24"/>
        </w:rPr>
        <w:t xml:space="preserve">.  Bayesian analyses revealed moderate to strong evidence </w:t>
      </w:r>
      <w:r w:rsidR="002B5D4E">
        <w:rPr>
          <w:rFonts w:ascii="Times New Roman" w:hAnsi="Times New Roman" w:cs="Times New Roman"/>
          <w:sz w:val="24"/>
          <w:szCs w:val="24"/>
        </w:rPr>
        <w:t xml:space="preserve">in favor of the </w:t>
      </w:r>
      <w:r>
        <w:rPr>
          <w:rFonts w:ascii="Times New Roman" w:hAnsi="Times New Roman" w:cs="Times New Roman"/>
          <w:sz w:val="24"/>
          <w:szCs w:val="24"/>
        </w:rPr>
        <w:t>null hypothesis.  We conclude that carryover effects for threat do not influence attention bias for threat</w:t>
      </w:r>
      <w:bookmarkStart w:id="0" w:name="_Hlk81497302"/>
      <w:bookmarkEnd w:id="0"/>
      <w:r w:rsidR="002B5D4E">
        <w:rPr>
          <w:rFonts w:ascii="Times New Roman" w:hAnsi="Times New Roman" w:cs="Times New Roman"/>
          <w:sz w:val="24"/>
          <w:szCs w:val="24"/>
        </w:rPr>
        <w:t xml:space="preserve">. </w:t>
      </w:r>
    </w:p>
    <w:p w14:paraId="13740CAC" w14:textId="48023CDB" w:rsidR="00A05BCF" w:rsidRDefault="00A05BCF">
      <w:pPr>
        <w:spacing w:line="240" w:lineRule="auto"/>
        <w:contextualSpacing/>
        <w:rPr>
          <w:rFonts w:ascii="Times New Roman" w:hAnsi="Times New Roman" w:cs="Times New Roman"/>
          <w:sz w:val="24"/>
          <w:szCs w:val="24"/>
        </w:rPr>
      </w:pPr>
    </w:p>
    <w:p w14:paraId="6616CE17" w14:textId="0305A96A" w:rsidR="00A05BCF" w:rsidRDefault="008718CC">
      <w:pPr>
        <w:spacing w:line="240" w:lineRule="auto"/>
        <w:contextualSpacing/>
        <w:rPr>
          <w:rFonts w:ascii="Times New Roman" w:hAnsi="Times New Roman" w:cs="Times New Roman"/>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dot-probe, emotional cues, carryover effects, attention bias, threat</w:t>
      </w:r>
    </w:p>
    <w:p w14:paraId="13ED3D9F" w14:textId="77777777" w:rsidR="00A05BCF" w:rsidRDefault="00A05BCF">
      <w:pPr>
        <w:spacing w:line="240" w:lineRule="auto"/>
        <w:contextualSpacing/>
        <w:rPr>
          <w:rFonts w:ascii="Times New Roman" w:hAnsi="Times New Roman" w:cs="Times New Roman"/>
          <w:sz w:val="24"/>
          <w:szCs w:val="24"/>
        </w:rPr>
      </w:pPr>
    </w:p>
    <w:p w14:paraId="0F61BA82" w14:textId="77777777" w:rsidR="00A05BCF" w:rsidRDefault="00A05BCF">
      <w:pPr>
        <w:spacing w:line="240" w:lineRule="auto"/>
        <w:contextualSpacing/>
        <w:rPr>
          <w:rFonts w:ascii="Times New Roman" w:hAnsi="Times New Roman" w:cs="Times New Roman"/>
          <w:sz w:val="24"/>
          <w:szCs w:val="24"/>
        </w:rPr>
      </w:pPr>
    </w:p>
    <w:p w14:paraId="333CB41E" w14:textId="77777777" w:rsidR="00A05BCF" w:rsidRDefault="00A05BCF">
      <w:pPr>
        <w:spacing w:line="240" w:lineRule="auto"/>
        <w:contextualSpacing/>
        <w:rPr>
          <w:rFonts w:ascii="Times New Roman" w:hAnsi="Times New Roman" w:cs="Times New Roman"/>
          <w:sz w:val="24"/>
          <w:szCs w:val="24"/>
        </w:rPr>
      </w:pPr>
    </w:p>
    <w:p w14:paraId="3AD6A0CA" w14:textId="77777777" w:rsidR="00A05BCF" w:rsidRDefault="008718CC" w:rsidP="0065645B">
      <w:pPr>
        <w:pStyle w:val="Heading"/>
      </w:pPr>
      <w:r>
        <w:t>Take-home message</w:t>
      </w:r>
    </w:p>
    <w:p w14:paraId="56E34092" w14:textId="61E5D62A" w:rsidR="00A05BCF" w:rsidRPr="00DE65A6" w:rsidRDefault="0048323D">
      <w:pPr>
        <w:spacing w:line="240" w:lineRule="auto"/>
        <w:contextualSpacing/>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How is</w:t>
      </w:r>
      <w:r w:rsidR="004B1F50" w:rsidRPr="0048323D">
        <w:rPr>
          <w:rFonts w:ascii="Times New Roman" w:hAnsi="Times New Roman" w:cs="Times New Roman"/>
          <w:color w:val="4472C4" w:themeColor="accent1"/>
          <w:sz w:val="24"/>
          <w:szCs w:val="24"/>
        </w:rPr>
        <w:t xml:space="preserve"> </w:t>
      </w:r>
      <w:r w:rsidR="008718CC" w:rsidRPr="0048323D">
        <w:rPr>
          <w:rFonts w:ascii="Times New Roman" w:hAnsi="Times New Roman" w:cs="Times New Roman"/>
          <w:color w:val="4472C4" w:themeColor="accent1"/>
          <w:sz w:val="24"/>
          <w:szCs w:val="24"/>
        </w:rPr>
        <w:t>attention</w:t>
      </w:r>
      <w:r w:rsidR="004B1F50" w:rsidRPr="0048323D">
        <w:rPr>
          <w:rFonts w:ascii="Times New Roman" w:hAnsi="Times New Roman" w:cs="Times New Roman"/>
          <w:color w:val="4472C4" w:themeColor="accent1"/>
          <w:sz w:val="24"/>
          <w:szCs w:val="24"/>
        </w:rPr>
        <w:t xml:space="preserve">al bias to threat </w:t>
      </w:r>
      <w:r>
        <w:rPr>
          <w:rFonts w:ascii="Times New Roman" w:hAnsi="Times New Roman" w:cs="Times New Roman"/>
          <w:color w:val="4472C4" w:themeColor="accent1"/>
          <w:sz w:val="24"/>
          <w:szCs w:val="24"/>
        </w:rPr>
        <w:t xml:space="preserve">influenced </w:t>
      </w:r>
      <w:r w:rsidR="00BC0456" w:rsidRPr="0048323D">
        <w:rPr>
          <w:rFonts w:ascii="Times New Roman" w:hAnsi="Times New Roman" w:cs="Times New Roman"/>
          <w:color w:val="4472C4" w:themeColor="accent1"/>
          <w:sz w:val="24"/>
          <w:szCs w:val="24"/>
        </w:rPr>
        <w:t xml:space="preserve">by recent </w:t>
      </w:r>
      <w:r w:rsidR="007758DD">
        <w:rPr>
          <w:rFonts w:ascii="Times New Roman" w:hAnsi="Times New Roman" w:cs="Times New Roman"/>
          <w:color w:val="4472C4" w:themeColor="accent1"/>
          <w:sz w:val="24"/>
          <w:szCs w:val="24"/>
        </w:rPr>
        <w:t>events</w:t>
      </w:r>
      <w:r>
        <w:rPr>
          <w:rFonts w:ascii="Times New Roman" w:hAnsi="Times New Roman" w:cs="Times New Roman"/>
          <w:color w:val="4472C4" w:themeColor="accent1"/>
          <w:sz w:val="24"/>
          <w:szCs w:val="24"/>
        </w:rPr>
        <w:t xml:space="preserve">?  In the current study, we </w:t>
      </w:r>
      <w:r w:rsidR="00BC0456" w:rsidRPr="0048323D">
        <w:rPr>
          <w:rFonts w:ascii="Times New Roman" w:hAnsi="Times New Roman" w:cs="Times New Roman"/>
          <w:color w:val="4472C4" w:themeColor="accent1"/>
          <w:sz w:val="24"/>
          <w:szCs w:val="24"/>
        </w:rPr>
        <w:t>tested whether bias to threat</w:t>
      </w:r>
      <w:r>
        <w:rPr>
          <w:rFonts w:ascii="Times New Roman" w:hAnsi="Times New Roman" w:cs="Times New Roman"/>
          <w:color w:val="4472C4" w:themeColor="accent1"/>
          <w:sz w:val="24"/>
          <w:szCs w:val="24"/>
        </w:rPr>
        <w:t xml:space="preserve"> (in the dot-probe task)</w:t>
      </w:r>
      <w:r w:rsidR="00BC0456" w:rsidRPr="0048323D">
        <w:rPr>
          <w:rFonts w:ascii="Times New Roman" w:hAnsi="Times New Roman" w:cs="Times New Roman"/>
          <w:color w:val="4472C4" w:themeColor="accent1"/>
          <w:sz w:val="24"/>
          <w:szCs w:val="24"/>
        </w:rPr>
        <w:t xml:space="preserve"> is greater when threat cues recently appeared in a target location</w:t>
      </w:r>
      <w:r>
        <w:rPr>
          <w:rFonts w:ascii="Times New Roman" w:hAnsi="Times New Roman" w:cs="Times New Roman"/>
          <w:color w:val="4472C4" w:themeColor="accent1"/>
          <w:sz w:val="24"/>
          <w:szCs w:val="24"/>
        </w:rPr>
        <w:t>, relative to when they appeared in a non-target location</w:t>
      </w:r>
      <w:r w:rsidR="007758DD">
        <w:rPr>
          <w:rFonts w:ascii="Times New Roman" w:hAnsi="Times New Roman" w:cs="Times New Roman"/>
          <w:color w:val="4472C4" w:themeColor="accent1"/>
          <w:sz w:val="24"/>
          <w:szCs w:val="24"/>
        </w:rPr>
        <w:t xml:space="preserve"> (</w:t>
      </w:r>
      <w:r w:rsidR="00BC0456" w:rsidRPr="0048323D">
        <w:rPr>
          <w:rFonts w:ascii="Times New Roman" w:hAnsi="Times New Roman" w:cs="Times New Roman"/>
          <w:color w:val="4472C4" w:themeColor="accent1"/>
          <w:sz w:val="24"/>
          <w:szCs w:val="24"/>
        </w:rPr>
        <w:t>otherwise known as a carryover effect for threat</w:t>
      </w:r>
      <w:r w:rsidR="007758DD">
        <w:rPr>
          <w:rFonts w:ascii="Times New Roman" w:hAnsi="Times New Roman" w:cs="Times New Roman"/>
          <w:color w:val="4472C4" w:themeColor="accent1"/>
          <w:sz w:val="24"/>
          <w:szCs w:val="24"/>
        </w:rPr>
        <w:t>).  W</w:t>
      </w:r>
      <w:r w:rsidR="00BC0456" w:rsidRPr="0048323D">
        <w:rPr>
          <w:rFonts w:ascii="Times New Roman" w:hAnsi="Times New Roman" w:cs="Times New Roman"/>
          <w:color w:val="4472C4" w:themeColor="accent1"/>
          <w:sz w:val="24"/>
          <w:szCs w:val="24"/>
        </w:rPr>
        <w:t xml:space="preserve">hile we did not find </w:t>
      </w:r>
      <w:r>
        <w:rPr>
          <w:rFonts w:ascii="Times New Roman" w:hAnsi="Times New Roman" w:cs="Times New Roman"/>
          <w:color w:val="4472C4" w:themeColor="accent1"/>
          <w:sz w:val="24"/>
          <w:szCs w:val="24"/>
        </w:rPr>
        <w:t>carryover</w:t>
      </w:r>
      <w:r w:rsidR="003A75C9">
        <w:rPr>
          <w:rFonts w:ascii="Times New Roman" w:hAnsi="Times New Roman" w:cs="Times New Roman"/>
          <w:color w:val="4472C4" w:themeColor="accent1"/>
          <w:sz w:val="24"/>
          <w:szCs w:val="24"/>
        </w:rPr>
        <w:t xml:space="preserve"> effects for threat, </w:t>
      </w:r>
      <w:r w:rsidR="00BC0456" w:rsidRPr="0048323D">
        <w:rPr>
          <w:rFonts w:ascii="Times New Roman" w:hAnsi="Times New Roman" w:cs="Times New Roman"/>
          <w:color w:val="4472C4" w:themeColor="accent1"/>
          <w:sz w:val="24"/>
          <w:szCs w:val="24"/>
        </w:rPr>
        <w:t xml:space="preserve">we suspect </w:t>
      </w:r>
      <w:r w:rsidR="00864F28">
        <w:rPr>
          <w:rFonts w:ascii="Times New Roman" w:hAnsi="Times New Roman" w:cs="Times New Roman"/>
          <w:color w:val="4472C4" w:themeColor="accent1"/>
          <w:sz w:val="24"/>
          <w:szCs w:val="24"/>
        </w:rPr>
        <w:t xml:space="preserve">they are </w:t>
      </w:r>
      <w:r w:rsidR="00BC0456" w:rsidRPr="0048323D">
        <w:rPr>
          <w:rFonts w:ascii="Times New Roman" w:hAnsi="Times New Roman" w:cs="Times New Roman"/>
          <w:color w:val="4472C4" w:themeColor="accent1"/>
          <w:sz w:val="24"/>
          <w:szCs w:val="24"/>
        </w:rPr>
        <w:t>possible in other paradigms and</w:t>
      </w:r>
      <w:r w:rsidR="00864F28">
        <w:rPr>
          <w:rFonts w:ascii="Times New Roman" w:hAnsi="Times New Roman" w:cs="Times New Roman"/>
          <w:color w:val="4472C4" w:themeColor="accent1"/>
          <w:sz w:val="24"/>
          <w:szCs w:val="24"/>
        </w:rPr>
        <w:t xml:space="preserve"> that they exist in </w:t>
      </w:r>
      <w:r w:rsidR="00BC0456" w:rsidRPr="0048323D">
        <w:rPr>
          <w:rFonts w:ascii="Times New Roman" w:hAnsi="Times New Roman" w:cs="Times New Roman"/>
          <w:color w:val="4472C4" w:themeColor="accent1"/>
          <w:sz w:val="24"/>
          <w:szCs w:val="24"/>
        </w:rPr>
        <w:t>real</w:t>
      </w:r>
      <w:r w:rsidR="00864F28">
        <w:rPr>
          <w:rFonts w:ascii="Times New Roman" w:hAnsi="Times New Roman" w:cs="Times New Roman"/>
          <w:color w:val="4472C4" w:themeColor="accent1"/>
          <w:sz w:val="24"/>
          <w:szCs w:val="24"/>
        </w:rPr>
        <w:t>-l</w:t>
      </w:r>
      <w:r w:rsidR="00BC0456" w:rsidRPr="0048323D">
        <w:rPr>
          <w:rFonts w:ascii="Times New Roman" w:hAnsi="Times New Roman" w:cs="Times New Roman"/>
          <w:color w:val="4472C4" w:themeColor="accent1"/>
          <w:sz w:val="24"/>
          <w:szCs w:val="24"/>
        </w:rPr>
        <w:t xml:space="preserve">ife </w:t>
      </w:r>
      <w:r w:rsidR="00864F28">
        <w:rPr>
          <w:rFonts w:ascii="Times New Roman" w:hAnsi="Times New Roman" w:cs="Times New Roman"/>
          <w:color w:val="4472C4" w:themeColor="accent1"/>
          <w:sz w:val="24"/>
          <w:szCs w:val="24"/>
        </w:rPr>
        <w:t xml:space="preserve">scenarios. </w:t>
      </w:r>
      <w:r w:rsidR="001D1F9A" w:rsidRPr="00DE65A6">
        <w:rPr>
          <w:rFonts w:ascii="Times New Roman" w:hAnsi="Times New Roman" w:cs="Times New Roman"/>
          <w:color w:val="4472C4" w:themeColor="accent1"/>
          <w:sz w:val="24"/>
          <w:szCs w:val="24"/>
        </w:rPr>
        <w:t>C</w:t>
      </w:r>
      <w:r w:rsidR="008718CC" w:rsidRPr="00DE65A6">
        <w:rPr>
          <w:rFonts w:ascii="Times New Roman" w:hAnsi="Times New Roman" w:cs="Times New Roman"/>
          <w:color w:val="4472C4" w:themeColor="accent1"/>
          <w:sz w:val="24"/>
          <w:szCs w:val="24"/>
        </w:rPr>
        <w:t>arryover effects for threat</w:t>
      </w:r>
      <w:r w:rsidR="001D1F9A" w:rsidRPr="00DE65A6">
        <w:rPr>
          <w:rFonts w:ascii="Times New Roman" w:hAnsi="Times New Roman" w:cs="Times New Roman"/>
          <w:color w:val="4472C4" w:themeColor="accent1"/>
          <w:sz w:val="24"/>
          <w:szCs w:val="24"/>
        </w:rPr>
        <w:t xml:space="preserve"> in the dot-probe task are not likely to influence congruency effects.</w:t>
      </w:r>
    </w:p>
    <w:p w14:paraId="6730FD0D" w14:textId="77777777" w:rsidR="00A05BCF" w:rsidRDefault="00A05BCF">
      <w:pPr>
        <w:spacing w:line="240" w:lineRule="auto"/>
        <w:contextualSpacing/>
        <w:jc w:val="center"/>
        <w:rPr>
          <w:rFonts w:ascii="Times New Roman" w:hAnsi="Times New Roman" w:cs="Times New Roman"/>
          <w:b/>
          <w:bCs/>
          <w:sz w:val="24"/>
          <w:szCs w:val="24"/>
        </w:rPr>
      </w:pPr>
    </w:p>
    <w:p w14:paraId="5D68B7A8" w14:textId="77777777" w:rsidR="00A05BCF" w:rsidRDefault="008718CC" w:rsidP="0065645B">
      <w:pPr>
        <w:pStyle w:val="Heading"/>
      </w:pPr>
      <w:r>
        <w:t xml:space="preserve">Purpose </w:t>
      </w:r>
    </w:p>
    <w:p w14:paraId="155AA35E" w14:textId="0C2F5523" w:rsidR="00A05BCF" w:rsidRDefault="008718CC">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The objective of this study was to assess whether carryover effects for threat would be observed in the dot-probe task.  Related studies have found support for carryover effects for threat </w:t>
      </w:r>
      <w:r>
        <w:fldChar w:fldCharType="begin"/>
      </w:r>
      <w:r>
        <w:rPr>
          <w:rFonts w:ascii="Times New Roman" w:hAnsi="Times New Roman" w:cs="Times New Roman"/>
          <w:sz w:val="24"/>
          <w:szCs w:val="24"/>
        </w:rPr>
        <w:instrText>ADDIN ZOTERO_ITEM CSL_CITATION {"citationID":"xBlPAR3Q","properties":{"formattedCitation":"(Gladwin, 2017a, 2017b; Gladwin et al., 2019, 2020; Gladwin &amp; Figner, 2019)","plainCitation":"(Gladwin, 2017a, 2017b; Gladwin et al., 2019, 2020; Gladwin &amp; Figner, 2019)","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E."}],"issued":{"date-parts":[["2017"]]}}},{"id":98415,"uris":["http://zotero.org/groups/2609776/items/IDGV3AB4"],"uri":["http://zotero.org/groups/2609776/items/IDGV3AB4"],"itemData":{"id":98415,"type":"article-journal","abstract":"Posttraumatic stress disorder (PTSD) is related to attentional biases, which are commonly measured using the dot probe task. Recent research has shown that trial-to-trial variability may contain important information in such tasks. The current study aimed to determine whether trial-to-trial carryover effects in this task are related to PTSD symptoms. Dot probe tasks with attack-related scenes and angry faces were performed by 2 student samples. Interactions were tested with subclinical PTSD symptoms measured using the Trauma Screening Questionnaire. On the Scenes task, error rates increased after the probe had been presented on threat versus neutral cue locations. This effect increased with trauma symptoms. On the Faces task, symptoms were related to carryover effects on missed responses, which increased following probe-on-threat trials for current-probe-on-neutral trials only, and shifted from increasing to decreasing error rates over cue-stimulus interval. The results showed an overall carryover effect for attack scenes. Relationships with PTSD were found for both tasks. The precise relationships differed, suggesting either a general disruptive effect of attending or responding to threat, or a more cue-specific and time-dependent attend–threat association. Carryover effects in the dot probe task may provide an interesting direction of study of abnormal activation of threat-focused states or attention–threat binding in PTSD symptoms and other disorders. (PsycInfo Database Record (c) 2020 APA, all rights reserved)","archive":"psyh","archive_location":"2017-26725-001","container-title":"Traumatology","DOI":"10.1037/trm0000121","ISSN":"1085-9373","issue":"4","journalAbbreviation":"Traumatology (Tallahass Fla)","note":"publisher-place: US\npublisher: Educational Publishing Foundation","page":"303-308","source":"EBSCOhost","title":"Carryover effects in spatial attentional bias tasks and their relationship to subclinical PTSD symptoms.","volume":"23","author":[{"family":"Gladwin","given":"Thomas E."}],"issued":{"date-parts":[["2017",12]]}}},{"id":2538,"uris":["http://zotero.org/users/3283490/items/E9RRY2A2"],"uri":["http://zotero.org/users/3283490/items/E9RRY2A2"],"itemData":{"id":2538,"type":"article-journal","abstract":"Concerns have been raised about the reliability of dot-probe tasks. The cued Visual Probe Task (cVPT) uses cues predicting locations of emotional stimuli, which appears to improve reliability. However, cVPT reliability could be aﬀected by individual diﬀerences involving cue features. Here, we assessed speciﬁcally anticipatory reliability. Further, trial-to-trial carryover eﬀects, previously found for stimulus-evoked biases, were tested. 82 participants were analysed, who performed an online procedure including a reversal of the cue mapping. Predicted stimulus categories were neutral and angry faces. CueStimulus Intervals of 400 and 1000 ms were used. An overall anticipatory attentional bias, in terms of RT diﬀerence scores, towards threat was found. Reliability was around .4, similar to previous results despite the mapping reversal procedure. Carryover eﬀects were found with a similar pattern as for non-cued threat-evoked bias. The results conﬁrm a reasonably reliable outcome-focused bias towards threat, showing similar carryover eﬀects as found for stimulus-evoked bias.","container-title":"Journal of Cognitive Psychology","DOI":"10.1080/20445911.2019.1659801","ISSN":"2044-5911, 2044-592X","issue":"7","journalAbbreviation":"Journal of Cognitive Psychology","language":"en","page":"750-759","source":"DOI.org (Crossref)","title":"Anticipation-specific reliability and trial-to-trial carryover of anticipatory attentional bias for threat","volume":"31","author":[{"family":"Gladwin","given":"Thomas E."},{"family":"Figner","given":"Bernd"},{"family":"Vink","given":"Matthijs"}],"issued":{"date-parts":[["2019",10,3]]}}},{"id":2628,"uris":["http://zotero.org/users/3283490/items/N268ITHX"],"uri":["http://zotero.org/users/3283490/items/N268ITHX"],"itemData":{"id":2628,"type":"article-journal","abstract":"Observability of threat-related spatial attentional biases may require previous-trial responses associated with threat-related locations. This carryover eﬀect might aﬀect reliability and correlations. In Study 1, a diagonalized Visual Probe Task was completed online (N=131) with colour, anger, fear and disgust stimuli, with questionnaires on aggression, anxiety, depression and impulsivity. Bias towards negative stimuli was found only following previous targets on the negative location. Study 2 aimed to test an interpretation in terms of cue-evoked attention. Task variants were completed (N=101) with and without removal of the cue when targets appeared. Anger and disgust stimuli and aggression, anxiety and depression scales were used. Carryover was replicated with no interaction with cue oﬀset. Over both tasks, reliability was low and no robust correlations with questionnaires were found. Carryover thus determined whether attentional bias to negative facial expressions was observed, but analyses taking this into account did not improve reliability or reveal correlations.","container-title":"Journal of Cognitive Psychology","DOI":"10.1080/20445911.2020.1805453","ISSN":"2044-5911, 2044-592X","journalAbbreviation":"Journal of Cognitive Psychology","language":"en","page":"1-11","source":"DOI.org (Crossref)","title":"Attentional bias for negative expressions depends on previous target location: replicable effect but unreliable measures","title-short":"Attentional bias for negative expressions depends on previous target location","author":[{"family":"Gladwin","given":"Thomas E."},{"family":"Jewiss","given":"Matt"},{"family":"Vink","given":"Matthijs"}],"issued":{"date-parts":[["2020",8,12]]}}},{"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(Gladwin, 2017a, 2017b; Gladwin et al., 2019, 2020; Gladwin &amp; Figner,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21DC5">
        <w:rPr>
          <w:rFonts w:ascii="Times New Roman" w:hAnsi="Times New Roman" w:cs="Times New Roman"/>
          <w:sz w:val="24"/>
          <w:szCs w:val="24"/>
        </w:rPr>
        <w:t xml:space="preserve">However, </w:t>
      </w:r>
      <w:r>
        <w:rPr>
          <w:rFonts w:ascii="Times New Roman" w:hAnsi="Times New Roman" w:cs="Times New Roman"/>
          <w:sz w:val="24"/>
          <w:szCs w:val="24"/>
        </w:rPr>
        <w:t xml:space="preserve">there are several unique elements to the task design and procedure used </w:t>
      </w:r>
      <w:r w:rsidR="009C1040">
        <w:rPr>
          <w:rFonts w:ascii="Times New Roman" w:hAnsi="Times New Roman" w:cs="Times New Roman"/>
          <w:sz w:val="24"/>
          <w:szCs w:val="24"/>
        </w:rPr>
        <w:t xml:space="preserve">in </w:t>
      </w:r>
      <w:r>
        <w:rPr>
          <w:rFonts w:ascii="Times New Roman" w:hAnsi="Times New Roman" w:cs="Times New Roman"/>
          <w:sz w:val="24"/>
          <w:szCs w:val="24"/>
        </w:rPr>
        <w:t xml:space="preserve">these studies that make them difficult to compare to </w:t>
      </w:r>
      <w:r w:rsidR="002406D5">
        <w:rPr>
          <w:rFonts w:ascii="Times New Roman" w:hAnsi="Times New Roman" w:cs="Times New Roman"/>
          <w:sz w:val="24"/>
          <w:szCs w:val="24"/>
        </w:rPr>
        <w:t xml:space="preserve">the </w:t>
      </w:r>
      <w:r>
        <w:rPr>
          <w:rFonts w:ascii="Times New Roman" w:hAnsi="Times New Roman" w:cs="Times New Roman"/>
          <w:sz w:val="24"/>
          <w:szCs w:val="24"/>
        </w:rPr>
        <w:t>commonly used dot-probe</w:t>
      </w:r>
      <w:r w:rsidR="002406D5">
        <w:rPr>
          <w:rFonts w:ascii="Times New Roman" w:hAnsi="Times New Roman" w:cs="Times New Roman"/>
          <w:sz w:val="24"/>
          <w:szCs w:val="24"/>
        </w:rPr>
        <w:t xml:space="preserve"> task (a task often used in applied, </w:t>
      </w:r>
      <w:r w:rsidR="002406D5">
        <w:rPr>
          <w:rFonts w:ascii="Times New Roman" w:hAnsi="Times New Roman" w:cs="Times New Roman"/>
          <w:sz w:val="24"/>
          <w:szCs w:val="24"/>
        </w:rPr>
        <w:lastRenderedPageBreak/>
        <w:t>clinical</w:t>
      </w:r>
      <w:r w:rsidR="00721DC5">
        <w:rPr>
          <w:rFonts w:ascii="Times New Roman" w:hAnsi="Times New Roman" w:cs="Times New Roman"/>
          <w:sz w:val="24"/>
          <w:szCs w:val="24"/>
        </w:rPr>
        <w:t>,</w:t>
      </w:r>
      <w:r w:rsidR="002406D5">
        <w:rPr>
          <w:rFonts w:ascii="Times New Roman" w:hAnsi="Times New Roman" w:cs="Times New Roman"/>
          <w:sz w:val="24"/>
          <w:szCs w:val="24"/>
        </w:rPr>
        <w:t xml:space="preserve"> and basic research on emotion processing)</w:t>
      </w:r>
      <w:r>
        <w:rPr>
          <w:rFonts w:ascii="Times New Roman" w:hAnsi="Times New Roman" w:cs="Times New Roman"/>
          <w:sz w:val="24"/>
          <w:szCs w:val="24"/>
        </w:rPr>
        <w:t xml:space="preserve">.  Our purpose </w:t>
      </w:r>
      <w:r w:rsidR="009C1040">
        <w:rPr>
          <w:rFonts w:ascii="Times New Roman" w:hAnsi="Times New Roman" w:cs="Times New Roman"/>
          <w:sz w:val="24"/>
          <w:szCs w:val="24"/>
        </w:rPr>
        <w:t xml:space="preserve">was </w:t>
      </w:r>
      <w:r>
        <w:rPr>
          <w:rFonts w:ascii="Times New Roman" w:hAnsi="Times New Roman" w:cs="Times New Roman"/>
          <w:sz w:val="24"/>
          <w:szCs w:val="24"/>
        </w:rPr>
        <w:t>to extend these previous studies of carryover effects</w:t>
      </w:r>
      <w:r w:rsidR="002406D5">
        <w:rPr>
          <w:rFonts w:ascii="Times New Roman" w:hAnsi="Times New Roman" w:cs="Times New Roman"/>
          <w:sz w:val="24"/>
          <w:szCs w:val="24"/>
        </w:rPr>
        <w:t xml:space="preserve"> for threat</w:t>
      </w:r>
      <w:r>
        <w:rPr>
          <w:rFonts w:ascii="Times New Roman" w:hAnsi="Times New Roman" w:cs="Times New Roman"/>
          <w:sz w:val="24"/>
          <w:szCs w:val="24"/>
        </w:rPr>
        <w:t xml:space="preserve"> to the</w:t>
      </w:r>
      <w:r w:rsidR="000405AC">
        <w:rPr>
          <w:rFonts w:ascii="Times New Roman" w:hAnsi="Times New Roman" w:cs="Times New Roman"/>
          <w:sz w:val="24"/>
          <w:szCs w:val="24"/>
        </w:rPr>
        <w:t xml:space="preserve"> standard</w:t>
      </w:r>
      <w:r>
        <w:rPr>
          <w:rFonts w:ascii="Times New Roman" w:hAnsi="Times New Roman" w:cs="Times New Roman"/>
          <w:sz w:val="24"/>
          <w:szCs w:val="24"/>
        </w:rPr>
        <w:t xml:space="preserve"> dot-probe task.</w:t>
      </w:r>
    </w:p>
    <w:p w14:paraId="5139FFE0" w14:textId="77777777" w:rsidR="00A05BCF" w:rsidRDefault="00A05BCF">
      <w:pPr>
        <w:spacing w:line="240" w:lineRule="auto"/>
        <w:contextualSpacing/>
        <w:jc w:val="center"/>
        <w:rPr>
          <w:rFonts w:ascii="Times New Roman" w:hAnsi="Times New Roman" w:cs="Times New Roman"/>
          <w:sz w:val="24"/>
          <w:szCs w:val="24"/>
        </w:rPr>
      </w:pPr>
    </w:p>
    <w:p w14:paraId="391A0D17" w14:textId="77777777" w:rsidR="00A05BCF" w:rsidRDefault="00A05BCF">
      <w:pPr>
        <w:spacing w:line="240" w:lineRule="auto"/>
        <w:contextualSpacing/>
        <w:rPr>
          <w:rFonts w:ascii="Times New Roman" w:hAnsi="Times New Roman" w:cs="Times New Roman"/>
          <w:sz w:val="24"/>
          <w:szCs w:val="24"/>
        </w:rPr>
      </w:pPr>
    </w:p>
    <w:p w14:paraId="37750798" w14:textId="77777777" w:rsidR="00A05BCF" w:rsidRDefault="00A05BCF">
      <w:pPr>
        <w:spacing w:line="240" w:lineRule="auto"/>
        <w:contextualSpacing/>
        <w:rPr>
          <w:rFonts w:ascii="Times New Roman" w:hAnsi="Times New Roman" w:cs="Times New Roman"/>
          <w:sz w:val="24"/>
          <w:szCs w:val="24"/>
        </w:rPr>
      </w:pPr>
    </w:p>
    <w:p w14:paraId="1FB11CB3" w14:textId="77777777" w:rsidR="00A05BCF" w:rsidRDefault="00A05BCF">
      <w:pPr>
        <w:spacing w:line="240" w:lineRule="auto"/>
        <w:contextualSpacing/>
        <w:rPr>
          <w:rFonts w:ascii="Times New Roman" w:hAnsi="Times New Roman" w:cs="Times New Roman"/>
          <w:sz w:val="24"/>
          <w:szCs w:val="24"/>
        </w:rPr>
      </w:pPr>
    </w:p>
    <w:p w14:paraId="68A6C7A1" w14:textId="77777777" w:rsidR="00A05BCF" w:rsidRDefault="00A05BCF">
      <w:pPr>
        <w:spacing w:line="240" w:lineRule="auto"/>
        <w:contextualSpacing/>
        <w:rPr>
          <w:rFonts w:ascii="Times New Roman" w:hAnsi="Times New Roman" w:cs="Times New Roman"/>
          <w:sz w:val="24"/>
          <w:szCs w:val="24"/>
        </w:rPr>
      </w:pPr>
    </w:p>
    <w:p w14:paraId="0019A620" w14:textId="77777777" w:rsidR="00A05BCF" w:rsidRDefault="008718CC" w:rsidP="0065645B">
      <w:pPr>
        <w:pStyle w:val="Heading"/>
      </w:pPr>
      <w:r>
        <w:t>Do Carryover Effects Influence Attentional Bias to Threat in the Dot-Probe Task?</w:t>
      </w:r>
    </w:p>
    <w:p w14:paraId="7306D245" w14:textId="70F1170D"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Emotional stimuli are thought to receive prioritized processing.  Threatening stimuli like </w:t>
      </w:r>
      <w:r w:rsidRPr="003B486B">
        <w:rPr>
          <w:rFonts w:ascii="Times New Roman" w:hAnsi="Times New Roman" w:cs="Times New Roman"/>
          <w:color w:val="4472C4" w:themeColor="accent1"/>
          <w:sz w:val="24"/>
          <w:szCs w:val="24"/>
        </w:rPr>
        <w:t xml:space="preserve">angry </w:t>
      </w:r>
      <w:r w:rsidR="003B486B" w:rsidRPr="003B486B">
        <w:rPr>
          <w:rFonts w:ascii="Times New Roman" w:hAnsi="Times New Roman" w:cs="Times New Roman"/>
          <w:color w:val="4472C4" w:themeColor="accent1"/>
          <w:sz w:val="24"/>
          <w:szCs w:val="24"/>
        </w:rPr>
        <w:t xml:space="preserve">and fearful facial </w:t>
      </w:r>
      <w:r>
        <w:rPr>
          <w:rFonts w:ascii="Times New Roman" w:hAnsi="Times New Roman" w:cs="Times New Roman"/>
          <w:sz w:val="24"/>
          <w:szCs w:val="24"/>
        </w:rPr>
        <w:t xml:space="preserve">expressions of emotion often “beat-out” neutral or innocuous objects </w:t>
      </w:r>
      <w:r>
        <w:fldChar w:fldCharType="begin"/>
      </w:r>
      <w:r>
        <w:rPr>
          <w:rFonts w:ascii="Times New Roman" w:hAnsi="Times New Roman" w:cs="Times New Roman"/>
          <w:sz w:val="24"/>
          <w:szCs w:val="24"/>
        </w:rPr>
        <w:instrText>ADDIN ZOTERO_ITEM CSL_CITATION {"citationID":"vXfUyDDd","properties":{"formattedCitation":"(Becker et al., 2017; Schub\\uc0\\u246{} et al., 2006)","plainCitation":"(Becker et al., 2017; Schubö et al., 2006)","noteIndex":0},"citationItems":[{"id":72,"uris":["http://zotero.org/users/3283490/items/GHY4SKHG"],"uri":["http://zotero.org/users/3283490/items/GHY4SKHG"],"itemData":{"id":72,"type":"article-journal","abstract":"Can emotional expressions automatically attract attention in virtue of their affective content? Previous studies mostly used emotional faces (e.g., angry or happy faces) in visual search tasks to assess whether affective contents can automatically attract attention. However, the evidence in support of affective attentional capture is still contentious, as the studies either: (1) did not render affective contents irrelevant to the task, (2) used affective stimuli that were perceptually similar to the target, (3) did not rule out factors occurring later in the visual search process (e.g., disengagement of attention), or (4) used only schematic emotional faces that do not clearly convey affective contents. The present study remedied these shortcomings by measuring the eye movements of observers while they searched for emotional photographic faces. To examine whether irrelevant emotional faces are selected because of their perceptual similarity to the target (top-down), or because of their emotional expressions, we also assessed the perceptual similarity between the emotional distractors and the target. The results show that happy and angry faces can indeed automatically attract attention and the gaze. Perceptual similarity modulated the effect only weakly, indicating that capture was mainly due to bottom-up, stimulus-driven processes. However, post-selectional processes of disengaging attention from the emotional expressions contributed strongly to the overall disruptive effects of emotional expressions. Taken together, these results support a stimulus-driven account of attentional capture by emotional faces, and highlight the need to use measures that can distinguish between early and late processes in visual search.","container-title":"Visual Cognition","DOI":"10.1080/13506285.2017.1333182","ISSN":"1350-6285, 1464-0716","issue":"1-3","language":"en","page":"241-261","source":"Crossref","title":"The capture of attention and gaze in the search for emotional photographic faces","volume":"25","author":[{"family":"Becker","given":"Stefanie I."},{"family":"Dutt","given":"Neelam"},{"family":"Vromen","given":"Joyce M. G."},{"family":"Horstmann","given":"Gernot"}],"issued":{"date-parts":[["2017",3,16]]}}},{"id":878,"uris":["http://zotero.org/users/3283490/items/HA2JQKA6"],"uri":["http://zotero.org/users/3283490/items/HA2JQKA6"],"itemData":{"id":878,"type":"article-journal","abstract":"In 2 experiments, participants were presented schematic faces with emotional expressions (threatening, friendly) in a neutral-faces context or neutral expressions in an emotional-faces context. These conditions were compared with detection performance in displays containing key features of emotional faces not forming the perceptual gestalt of a face. Supporting the notion of a threat detection advantage, Experiment 1 found that threatening faces were faster detected than friendly faces, whereas no difference emerged between the corresponding feature conditions. Experiment 2 increased task difficulty with a backward masking procedure and found corresponding results. In neither of the studies was the threat detection advantage associated with reduced accuracy. However, features were, in general, detected faster than faces when task difficulty was high.","container-title":"Emotion","DOI":"10.1037/1528-3542.6.2.246","ISSN":"1931-1516, 1528-3542","issue":"2","journalAbbreviation":"Emotion","language":"en","page":"246-256","source":"DOI.org (Crossref)","title":"Detecting emotional faces and features in a visual search paradigm: Are faces special?","title-short":"Detecting emotional faces and features in a visual search paradigm","volume":"6","author":[{"family":"Schubö","given":"Anna"},{"family":"Gendolla","given":"Guido H. E."},{"family":"Meinecke","given":"Cristina"},{"family":"Abele","given":"Andrea E."}],"issued":{"date-parts":[["2006"]]}}}],"schema":"https://github.com/citation-style-language/schema/raw/master/csl-citation.json"}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(Becker et al., 2017; Schubö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in the competition over spatial attentional resources </w:t>
      </w:r>
      <w:r>
        <w:fldChar w:fldCharType="begin"/>
      </w:r>
      <w:r>
        <w:rPr>
          <w:rFonts w:ascii="Times New Roman" w:hAnsi="Times New Roman" w:cs="Times New Roman"/>
          <w:sz w:val="24"/>
          <w:szCs w:val="24"/>
        </w:rPr>
        <w:instrText>ADDIN ZOTERO_ITEM CSL_CITATION {"citationID":"Kgrg958U","properties":{"formattedCitation":"(Desimone &amp; Duncan, 1995)","plainCitation":"(Desimone &amp; Duncan, 1995)","noteIndex":0},"citationItems":[{"id":873,"uris":["http://zotero.org/users/3283490/items/E8I7MRF9"],"uri":["http://zotero.org/users/3283490/items/E8I7MRF9"],"itemData":{"id":873,"type":"article-journal","language":"en","page":"30","source":"Zotero","title":"Neural Mechanisms of Selective Visual Attention","author":[{"family":"Desimone","given":"Robert"},{"family":"Duncan","given":"John"}],"issued":{"date-parts":[["1995"]]}}}],"schema":"https://github.com/citation-style-language/schema/raw/master/csl-citation.json"}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(Desimone &amp; Duncan, 1995)</w:t>
      </w:r>
      <w:r>
        <w:rPr>
          <w:rFonts w:ascii="Times New Roman" w:hAnsi="Times New Roman" w:cs="Times New Roman"/>
          <w:sz w:val="24"/>
          <w:szCs w:val="24"/>
        </w:rPr>
        <w:fldChar w:fldCharType="end"/>
      </w:r>
      <w:r>
        <w:rPr>
          <w:rFonts w:ascii="Times New Roman" w:hAnsi="Times New Roman" w:cs="Times New Roman"/>
          <w:sz w:val="24"/>
          <w:szCs w:val="24"/>
        </w:rPr>
        <w:t xml:space="preserve">.  Attentional bias to threat is a topic of research that intersects many domains and is an essential function for a variety of organisms </w:t>
      </w:r>
      <w:r>
        <w:fldChar w:fldCharType="begin"/>
      </w:r>
      <w:r>
        <w:rPr>
          <w:rFonts w:ascii="Times New Roman" w:hAnsi="Times New Roman" w:cs="Times New Roman"/>
          <w:sz w:val="24"/>
          <w:szCs w:val="24"/>
        </w:rPr>
        <w:instrText>ADDIN ZOTERO_ITEM CSL_CITATION {"citationID":"S8evJpSY","properties":{"formattedCitation":"(Anderson &amp; Britton, 2019)","plainCitation":"(Anderson &amp; Britton, 2019)","noteIndex":0},"citationItems":[{"id":2542,"uris":["http://zotero.org/users/3283490/items/JRVIJ2VF"],"uri":["http://zotero.org/users/3283490/items/JRVIJ2VF"],"itemData":{"id":2542,"type":"article-journal","abstract":"Attention is biased toward stimuli that have been associated with aversive outcomes in the past. This bias has previously been interpreted as reflecting automatic orienting toward threat signals. However, in many prior studies, either the threatening stimulus provided valuable predictive information, signaling the possibility of an otherwise unavoidable punishment and thereby allowing participants to brace themselves, or the aversive event could be avoided with fast and accurate task performance. Under these conditions, monitoring for threat could be viewed as an adaptive strategy. In the present study, fixating a color stimulus immediately resulted in a shock on some trials, providing a direct incentive not to look at the stimulus. Nevertheless, this contingency resulted in participants fixating the shock-associated stimulus more frequently than a neutral distractor matched for physical salience. Our findings demonstrate that threatening stimuli are automatically attended even when attending such stimuli is actually responsible for triggering the aversive event, providing compelling evidence for automaticity.","container-title":"Emotion","DOI":"10.1037/emo0000596","ISSN":"1931-1516, 1528-3542","journalAbbreviation":"Emotion","language":"en","source":"DOI.org (Crossref)","title":"On the automaticity of attentional orienting to threatening stimuli.","URL":"http://doi.apa.org/getdoi.cfm?doi=10.1037/emo0000596","author":[{"family":"Anderson","given":"Brian A."},{"family":"Britton","given":"Mark K."}],"accessed":{"date-parts":[["2020",7,9]]},"issued":{"date-parts":[["2019",3,14]]}}}],"schema":"https://github.com/citation-style-language/schema/raw/master/csl-citation.json"}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(Anderson &amp; Britton, 2019)</w:t>
      </w:r>
      <w:r>
        <w:rPr>
          <w:rFonts w:ascii="Times New Roman" w:hAnsi="Times New Roman" w:cs="Times New Roman"/>
          <w:sz w:val="24"/>
          <w:szCs w:val="24"/>
        </w:rPr>
        <w:fldChar w:fldCharType="end"/>
      </w:r>
      <w:r>
        <w:rPr>
          <w:rFonts w:ascii="Times New Roman" w:hAnsi="Times New Roman" w:cs="Times New Roman"/>
          <w:sz w:val="24"/>
          <w:szCs w:val="24"/>
        </w:rPr>
        <w:t>.</w:t>
      </w:r>
    </w:p>
    <w:p w14:paraId="67BD8731" w14:textId="06C951DD"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One of the most commonly used tasks to assess attentional bias to threat is the dot-probe task </w:t>
      </w:r>
      <w:r>
        <w:fldChar w:fldCharType="begin"/>
      </w:r>
      <w:r>
        <w:rPr>
          <w:rFonts w:ascii="Times New Roman" w:hAnsi="Times New Roman" w:cs="Times New Roman"/>
          <w:sz w:val="24"/>
          <w:szCs w:val="24"/>
        </w:rPr>
        <w:instrText>ADDIN ZOTERO_ITEM CSL_CITATION {"citationID":"bZQPa1HH","properties":{"formattedCitation":"(MacLeod et al., 1986)","plainCitation":"(MacLeod et al., 1986)","noteIndex":0},"citationItems":[{"id":99874,"uris":["http://zotero.org/users/3283490/items/L49B95HE"],"uri":["http://zotero.org/users/3283490/items/L49B95HE"],"itemData":{"id":99874,"type":"article-journal","container-title":"Journal of Abnormal Psychology","DOI":"10.1037/0021-843X.95.1.15","ISSN":"1939-1846, 0021-843X","issue":"1","journalAbbreviation":"Journal of Abnormal Psychology","language":"en","page":"15-20","source":"DOI.org (Crossref)","title":"Attentional bias in emotional disorders.","volume":"95","author":[{"family":"MacLeod","given":"Colin"},{"family":"Mathews","given":"Andrew"},{"family":"Tata","given":"Philip"}],"issued":{"date-parts":[["1986"]]}}}],"schema":"https://github.com/citation-style-language/schema/raw/master/csl-citation.json"}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(MacLeod et al., 1986)</w:t>
      </w:r>
      <w:r>
        <w:rPr>
          <w:rFonts w:ascii="Times New Roman" w:hAnsi="Times New Roman" w:cs="Times New Roman"/>
          <w:sz w:val="24"/>
          <w:szCs w:val="24"/>
        </w:rPr>
        <w:fldChar w:fldCharType="end"/>
      </w:r>
      <w:r>
        <w:rPr>
          <w:rFonts w:ascii="Times New Roman" w:hAnsi="Times New Roman" w:cs="Times New Roman"/>
          <w:sz w:val="24"/>
          <w:szCs w:val="24"/>
        </w:rPr>
        <w:t>.  In a typical dot-probe task, participants search for the location of a target dot and indicate its position (left or right side of the screen) with a corresponding keypress.  Immediately prior to the presentation of the target dot, two adjacent cues (one neutral and one threatening cue) are simultaneously presented for a very brief period (e.g., 100 millisecond (ms)).  On congruent trials, the dot appears at the location of the threatening cue, whereas on incongruent trials, the dot appears at the location of the neutral cue (see Figure 1A).  Each cue is completely irrelevant to the current task demands.</w:t>
      </w:r>
      <w:r w:rsidR="000B5A39">
        <w:rPr>
          <w:rFonts w:ascii="Times New Roman" w:hAnsi="Times New Roman" w:cs="Times New Roman"/>
          <w:sz w:val="24"/>
          <w:szCs w:val="24"/>
        </w:rPr>
        <w:t xml:space="preserve">  </w:t>
      </w:r>
      <w:r w:rsidR="000B5A39" w:rsidRPr="00EC10C3">
        <w:rPr>
          <w:rFonts w:ascii="Times New Roman" w:hAnsi="Times New Roman" w:cs="Times New Roman"/>
          <w:color w:val="4472C4" w:themeColor="accent1"/>
          <w:sz w:val="24"/>
          <w:szCs w:val="24"/>
        </w:rPr>
        <w:t>And yet, the threatening cue biases attention to a greater extent than the neutral cue, as shown by faster response times (RTs) for congruent trials relative to incongruent trials</w:t>
      </w:r>
      <w:r w:rsidR="00784548" w:rsidRPr="00EC10C3">
        <w:rPr>
          <w:rFonts w:ascii="Times New Roman" w:hAnsi="Times New Roman" w:cs="Times New Roman"/>
          <w:color w:val="4472C4" w:themeColor="accent1"/>
          <w:sz w:val="24"/>
          <w:szCs w:val="24"/>
        </w:rPr>
        <w:t xml:space="preserve"> </w:t>
      </w:r>
      <w:r w:rsidRPr="00EC10C3">
        <w:rPr>
          <w:rFonts w:ascii="Times New Roman" w:hAnsi="Times New Roman" w:cs="Times New Roman"/>
          <w:color w:val="4472C4" w:themeColor="accent1"/>
          <w:sz w:val="24"/>
          <w:szCs w:val="24"/>
        </w:rPr>
        <w:t xml:space="preserve">(for reviews, see </w:t>
      </w:r>
      <w:r w:rsidRPr="00EC10C3">
        <w:rPr>
          <w:color w:val="4472C4" w:themeColor="accent1"/>
        </w:rPr>
        <w:fldChar w:fldCharType="begin"/>
      </w:r>
      <w:r w:rsidRPr="00EC10C3">
        <w:rPr>
          <w:rFonts w:ascii="Times New Roman" w:hAnsi="Times New Roman" w:cs="Times New Roman"/>
          <w:color w:val="4472C4" w:themeColor="accent1"/>
          <w:sz w:val="24"/>
          <w:szCs w:val="24"/>
        </w:rPr>
        <w:instrText>ADDIN ZOTERO_ITEM CSL_CITATION {"citationID":"dDw7wDBU","properties":{"formattedCitation":"(Carreti\\uc0\\u233{}, 2014; Imhoff et al., 2019)","plainCitation":"(Carretié, 2014; Imhoff et al., 2019)","dontUpdate":true,"noteIndex":0},"citationItems":[{"id":223,"uris":["http://zotero.org/users/3283490/items/WW55WCFJ"],"uri":["http://zotero.org/users/3283490/items/WW55WCFJ"],"itemData":{"id":223,"type":"article-journal","abstract":"Current knowledge on the architecture of exogenous attention (also called automatic, bottom-up, or stimulusdriven attention, among other terms) has been mainly obtained from studies employing neutral, anodyne stimuli. Since, from an evolutionary perspective, exogenous attention can be understood as an adaptive tool for rapidly detecting salient events, reorienting processing resources to them, and enhancing processing mechanisms, emotional events (which are, by definition, salient for the individual) would seem crucial to a comprehensive understanding of this process. This review, focusing on the visual modality, describes 55 experiments in which both emotional and neutral irrelevant distractors are presented at the same time as ongoing task targets. Qualitative and, when possible, meta-analytic descriptions of results are provided. The most conspicuous result is that, as confirmed by behavioral and/or neural indices, emotional distractors capture exogenous attention to a significantly greater extent than do neutral distractors. The modulatory effects of the nature of distractors capturing attention, of the ongoing task characteristics, and of individual differences, previously proposed as mediating factors, are also described. Additionally, studies reviewed here provide temporal and spatial information—partially absent in traditional cognitive models—on the neural basis of preattention/evaluation, reorienting, and sensory amplification, the main subprocesses involved in exogenous attention. A model integrating these different levels of information is proposed. The present review, which reveals that there are several key issues for which experimental data are surprisingly scarce, confirms the relevance of including emotional distractors in studies on exogenous attention.","container-title":"Cognitive, Affective, &amp; Behavioral Neuroscience","DOI":"10.3758/s13415-014-0270-2","ISSN":"1530-7026, 1531-135X","issue":"4","language":"en","page":"1228-1258","source":"Crossref","title":"Exogenous (automatic) attention to emotional stimuli: a review","title-short":"Exogenous (automatic) attention to emotional stimuli","volume":"14","author":[{"family":"Carretié","given":"Luis"}],"issued":{"date-parts":[["2014",12]]}}},{"id":877,"uris":["http://zotero.org/users/3283490/items/L4G2ASKZ"],"uri":["http://zotero.org/users/3283490/items/L4G2ASKZ"],"itemData":{"id":877,"type":"article-journal","abstract":"Spatial cueing paradigms are popular tools to assess human attention to emotional stimuli, but different variants of these paradigms differ in what participants’ primary task is. In one variant, participants indicate the location of the target (location task), whereas in the other they indicate the shape of the target (identification task). In the present paper we test the idea that although these two variants produce seemingly comparable cue validity effects on response times, they rest on different underlying processes. Across four studies (total N = 397; two in the supplement) using both variants and manipulating the motivational relevance of cue content, diffusion model analyses revealed that cue validity effects in location tasks are primarily driven by response biases, whereas the same effect rests on delay due to attention to the cue in identification tasks. Based on this, we predict and empirically support that a symmetrical distribution of valid and invalid cues would reduce cue validity effects in location tasks to a greater extent than in identification tasks. Across all variants of the task, we fail to replicate the effect of greater cue validity effects for arousing (vs. neutral) stimuli. We discuss the implications of these findings for best practice in spatial cueing research.","container-title":"Cognition and Emotion","DOI":"10.1080/02699931.2018.1443433","ISSN":"0269-9931, 1464-0600","issue":"2","journalAbbreviation":"Cognition and Emotion","language":"en","page":"231-244","source":"DOI.org (Crossref)","title":"Identification and location tasks rely on different mental processes: a diffusion model account of validity effects in spatial cueing paradigms with emotional stimuli","title-short":"Identification and location tasks rely on different mental processes","volume":"33","author":[{"family":"Imhoff","given":"Roland"},{"family":"Lange","given":"Jens"},{"family":"Germar","given":"Markus"}],"issued":{"date-parts":[["2019",2,17]]}}}],"schema":"https://github.com/citation-style-language/schema/raw/master/csl-citation.json"}</w:instrText>
      </w:r>
      <w:r w:rsidRPr="00EC10C3">
        <w:rPr>
          <w:rFonts w:ascii="Times New Roman" w:hAnsi="Times New Roman" w:cs="Times New Roman"/>
          <w:color w:val="4472C4" w:themeColor="accent1"/>
          <w:sz w:val="24"/>
          <w:szCs w:val="24"/>
        </w:rPr>
        <w:fldChar w:fldCharType="separate"/>
      </w:r>
      <w:r w:rsidRPr="00EC10C3">
        <w:rPr>
          <w:rFonts w:ascii="Times New Roman" w:hAnsi="Times New Roman" w:cs="Times New Roman"/>
          <w:color w:val="4472C4" w:themeColor="accent1"/>
          <w:sz w:val="24"/>
          <w:szCs w:val="24"/>
        </w:rPr>
        <w:t>Carretié, 2014; Imhoff et al., 2019)</w:t>
      </w:r>
      <w:r w:rsidRPr="00EC10C3">
        <w:rPr>
          <w:rFonts w:ascii="Times New Roman" w:hAnsi="Times New Roman" w:cs="Times New Roman"/>
          <w:color w:val="4472C4" w:themeColor="accent1"/>
          <w:sz w:val="24"/>
          <w:szCs w:val="24"/>
        </w:rPr>
        <w:fldChar w:fldCharType="end"/>
      </w:r>
      <w:r w:rsidRPr="00EC10C3">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This effect is known as a </w:t>
      </w:r>
      <w:r>
        <w:rPr>
          <w:rFonts w:ascii="Times New Roman" w:hAnsi="Times New Roman" w:cs="Times New Roman"/>
          <w:i/>
          <w:iCs/>
          <w:sz w:val="24"/>
          <w:szCs w:val="24"/>
        </w:rPr>
        <w:t>congruency effect</w:t>
      </w:r>
      <w:r>
        <w:rPr>
          <w:rFonts w:ascii="Times New Roman" w:hAnsi="Times New Roman" w:cs="Times New Roman"/>
          <w:sz w:val="24"/>
          <w:szCs w:val="24"/>
        </w:rPr>
        <w:t>, or attentional capture by threat or attentional bias to threat.</w:t>
      </w:r>
    </w:p>
    <w:p w14:paraId="6CF86074" w14:textId="4AFF1256"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While congruency effects are often assessed by the dot-probe task</w:t>
      </w:r>
      <w:r w:rsidR="006C35B3">
        <w:rPr>
          <w:rFonts w:ascii="Times New Roman" w:hAnsi="Times New Roman" w:cs="Times New Roman"/>
          <w:sz w:val="24"/>
          <w:szCs w:val="24"/>
        </w:rPr>
        <w:t xml:space="preserve"> </w:t>
      </w:r>
      <w:r w:rsidR="006C35B3">
        <w:fldChar w:fldCharType="begin"/>
      </w:r>
      <w:r w:rsidR="006C35B3">
        <w:rPr>
          <w:rFonts w:ascii="Times New Roman" w:hAnsi="Times New Roman" w:cs="Times New Roman"/>
          <w:sz w:val="24"/>
          <w:szCs w:val="24"/>
        </w:rPr>
        <w:instrText>ADDIN ZOTERO_ITEM CSL_CITATION {"citationID":"JDLlwR8G","properties":{"formattedCitation":"(Kruijt et al., 2018; Mogg et al., 2017)","plainCitation":"(Kruijt et al., 2018; Mogg et al., 2017)","noteIndex":0},"citationItems":[{"id":2527,"uris":["http://zotero.org/users/3283490/items/I2TWHFV7"],"uri":["http://zotero.org/users/3283490/items/I2TWHFV7"],"itemData":{"id":2527,"type":"article-journal","abstract":"It is widely believed that anxiety is characterized by a tendency to orient attention specifically toward threatening information and that this tendency (called attention bias) can be measured using a computer task called the “dot-probe task.” Over the past decade, studies have tested whether a training version of this task can be used to modify bias, which might then be used as a new treatment (Attention Bias Modification). We analyzed levels of attention bias measured before participants started the modification training in 13 studies enrolling 1,005 diagnosed anxious patients. We found no evidence that clinically anxious people are characterized by attention bias toward threat.","container-title":"Journal of Abnormal Psychology","language":"en","page":"11","source":"Zotero","title":"A Meta-Analysis of Bias at Baseline in RCTs of Attention Bias Modification: No Evidence for Dot-Probe Bias Towards Threat in Clinical Anxiety and PTSD","author":[{"family":"Kruijt","given":"Anne-Wil"},{"family":"Parsons","given":"Sam"},{"family":"Fox","given":"Elaine"}],"issued":{"date-parts":[["2018"]]}}},{"id":1386,"uris":["http://zotero.org/users/3283490/items/JPG3SEMQ"],"uri":["http://zotero.org/users/3283490/items/JPG3SEMQ"],"itemData":{"id":1386,"type":"article-journal","abstract":"Attention bias modification (ABM) aims to reduce anxiety by reducing attention bias (AB) to threat; however, effects on anxiety and AB are variable. This review examines 34 studies assessing effects of multisession-ABM on both anxiety and AB in high-anxious individuals. Methods include ABM-threat-avoidance (promoting attention-orienting away from threat), ABM-positive-search (promoting explicit, goal-directed attention-search for positive/nonthreat targets among negative/threat distractors), and comparison conditions (e.g., control-attention training combining threat-cue exposure and attention-task practice without AB-modification). Findings indicate anxiety reduction often occurs during both ABM-threat-avoidance and control-attention training; anxiety reduction is not consistently accompanied by AB reduction; anxious individuals often show no pretraining AB in orienting toward threat; and ABM-positive-search training appears promising in reducing anxiety. Methodological and theoretical issues are discussed concerning ABM paradigms, comparison conditions, and AB assessment. ABM methods combining explicit goal-directed attention-search for nonthreat/positive information and effortful threat-distractor inhibition (promoting top-down cognitive control during threat-cue exposure) warrant further evaluation.","container-title":"Clinical Psychological Science","DOI":"10.1177/2167702617696359","ISSN":"2167-7026","issue":"4","journalAbbreviation":"Clin Psychol Sci","note":"PMID: 28752017\nPMCID: PMC5513441","page":"698-717","source":"PubMed Central","title":"Attention Bias Modification (ABM): Review of Effects of Multisession ABM Training on Anxiety and Threat-Related Attention in High-Anxious Individuals","title-short":"Attention Bias Modification (ABM)","volume":"5","author":[{"family":"Mogg","given":"Karin"},{"family":"Waters","given":"Allison M."},{"family":"Bradley","given":"Brendan P."}],"issued":{"date-parts":[["2017",7]]}}}],"schema":"https://github.com/citation-style-language/schema/raw/master/csl-citation.json"}</w:instrText>
      </w:r>
      <w:r w:rsidR="006C35B3">
        <w:rPr>
          <w:rFonts w:ascii="Times New Roman" w:hAnsi="Times New Roman" w:cs="Times New Roman"/>
          <w:sz w:val="24"/>
          <w:szCs w:val="24"/>
        </w:rPr>
        <w:fldChar w:fldCharType="separate"/>
      </w:r>
      <w:r w:rsidR="006C35B3">
        <w:rPr>
          <w:rFonts w:ascii="Times New Roman" w:hAnsi="Times New Roman" w:cs="Times New Roman"/>
          <w:sz w:val="24"/>
        </w:rPr>
        <w:t>(Kruijt et al., 2018; Mogg et al., 2017)</w:t>
      </w:r>
      <w:r w:rsidR="006C35B3">
        <w:rPr>
          <w:rFonts w:ascii="Times New Roman" w:hAnsi="Times New Roman" w:cs="Times New Roman"/>
          <w:sz w:val="24"/>
          <w:szCs w:val="24"/>
        </w:rPr>
        <w:fldChar w:fldCharType="end"/>
      </w:r>
      <w:r>
        <w:rPr>
          <w:rFonts w:ascii="Times New Roman" w:hAnsi="Times New Roman" w:cs="Times New Roman"/>
          <w:sz w:val="24"/>
          <w:szCs w:val="24"/>
        </w:rPr>
        <w:t xml:space="preserve">, they have come under scrutiny for poor internal and test-retest reliability </w:t>
      </w:r>
      <w:r>
        <w:fldChar w:fldCharType="begin"/>
      </w:r>
      <w:r>
        <w:rPr>
          <w:rFonts w:ascii="Times New Roman" w:hAnsi="Times New Roman" w:cs="Times New Roman"/>
          <w:sz w:val="24"/>
          <w:szCs w:val="24"/>
        </w:rPr>
        <w:instrText>ADDIN ZOTERO_ITEM CSL_CITATION {"citationID":"4PC1rjwt","properties":{"formattedCitation":"(Schmukle, 2005; Staugaard, 2009)","plainCitation":"(Schmukle, 2005; Staugaard, 2009)","noteIndex":0},"citationItems":[{"id":233,"uris":["http://zotero.org/users/3283490/items/FL2EDNYT"],"uri":["http://zotero.org/users/3283490/items/FL2EDNYT"],"itemData":{"id":233,"type":"article-journal","container-title":"European Journal of Personality","DOI":"10.1002/per.554","ISSN":"0890-2070, 1099-0984","issue":"7","journalAbbreviation":"Eur. J. Pers.","language":"en","page":"595-605","source":"DOI.org (Crossref)","title":"Unreliability of the dot probe task","volume":"19","author":[{"family":"Schmukle","given":"Stefan C."}],"issued":{"date-parts":[["2005",12]]}}},{"id":232,"uris":["http://zotero.org/users/3283490/items/TPMXPUJU"],"uri":["http://zotero.org/users/3283490/items/TPMXPUJU"],"itemData":{"id":232,"type":"article-journal","abstract":"The dot-probe task developed by Macleod, Mathews and Tata (1986) is a measure of attentional bias. Recent developments of the task have favoured the use of human faces as stimuli, however, results from this task have been inconsistent. In 2005, Schmukle published very poor reliability estimates for two versions of the dot-probe task using words and situational images as stimuli. The present study tested the reliability of two versions of the test, using photographs of human faces. One version was similar to previous research, while the other was a modification designed to meet a potential methodological issue. Results indicate that both versions tested were unreliable and therefore unsuitable for individual differences research. When considered as a group, however, participants showed consistent attentional bias towards emotional faces in the task similar to previous research, while habituation effects were found in the modified task. This suggests that the two tasks may be used in between-group designs to investigate different aspects of attention to emotional faces.","container-title":"Psychological Science Quarterly","issue":"3","language":"en","page":"339-350","source":"Zotero","title":"Reliability of two versions of the dot-probe task using photographic faces","volume":"51","author":[{"family":"Staugaard","given":"Søren Risløv"}],"issued":{"date-parts":[["2009"]]}}}],"schema":"https://github.com/citation-style-language/schema/raw/master/csl-citation.json"}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(Schmukle, 2005; Staugaard, 2009)</w:t>
      </w:r>
      <w:r>
        <w:rPr>
          <w:rFonts w:ascii="Times New Roman" w:hAnsi="Times New Roman" w:cs="Times New Roman"/>
          <w:sz w:val="24"/>
          <w:szCs w:val="24"/>
        </w:rPr>
        <w:fldChar w:fldCharType="end"/>
      </w:r>
      <w:r>
        <w:rPr>
          <w:rFonts w:ascii="Times New Roman" w:hAnsi="Times New Roman" w:cs="Times New Roman"/>
          <w:sz w:val="24"/>
          <w:szCs w:val="24"/>
        </w:rPr>
        <w:t xml:space="preserve">.  One root cause of </w:t>
      </w:r>
      <w:r w:rsidR="00DE0AF8">
        <w:rPr>
          <w:rFonts w:ascii="Times New Roman" w:hAnsi="Times New Roman" w:cs="Times New Roman"/>
          <w:sz w:val="24"/>
          <w:szCs w:val="24"/>
        </w:rPr>
        <w:t xml:space="preserve">these issues </w:t>
      </w:r>
      <w:r w:rsidR="006C35B3">
        <w:rPr>
          <w:rFonts w:ascii="Times New Roman" w:hAnsi="Times New Roman" w:cs="Times New Roman"/>
          <w:sz w:val="24"/>
          <w:szCs w:val="24"/>
        </w:rPr>
        <w:t xml:space="preserve">is </w:t>
      </w:r>
      <w:r>
        <w:rPr>
          <w:rFonts w:ascii="Times New Roman" w:hAnsi="Times New Roman" w:cs="Times New Roman"/>
          <w:sz w:val="24"/>
          <w:szCs w:val="24"/>
        </w:rPr>
        <w:t xml:space="preserve">that difference scores are inherently unreliable </w:t>
      </w:r>
      <w:r>
        <w:fldChar w:fldCharType="begin"/>
      </w:r>
      <w:r w:rsidR="00120B5D">
        <w:rPr>
          <w:rFonts w:ascii="Times New Roman" w:hAnsi="Times New Roman" w:cs="Times New Roman"/>
          <w:sz w:val="24"/>
          <w:szCs w:val="24"/>
        </w:rPr>
        <w:instrText xml:space="preserve"> ADDIN ZOTERO_ITEM CSL_CITATION {"citationID":"ploy6YBZ","properties":{"formattedCitation":"(Hedge et al., 2018)","plainCitation":"(Hedge et al., 2018)","dontUpdate":true,"noteIndex":0},"citationItems":[{"id":1914,"uris":["http://zotero.org/users/3283490/items/EQUIM4LC"],"uri":["http://zotero.org/users/3283490/items/EQUIM4LC"],"itemData":{"id":1914,"type":"article-journal","container-title":"Behavior Research Methods","DOI":"10.3758/s13428-017-0935-1","ISSN":"1554-3528","issue":"3","journalAbbreviation":"Behav Res","language":"en","page":"1166-1186","source":"DOI.org (Crossref)","title":"The reliability paradox: Why robust cognitive tasks do not produce reliable individual differences","title-short":"The reliability paradox","volume":"50","author":[{"family":"Hedge","given":"Craig"},{"family":"Powell","given":"Georgina"},{"family":"Sumner","given":"Petroc"}],"issued":{"date-parts":[["2018",6]]}}}],"schema":"https://github.com/citation-style-language/schema/raw/master/csl-citation.json"}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t>
      </w:r>
      <w:r w:rsidR="00737A33" w:rsidRPr="00737A33">
        <w:rPr>
          <w:rFonts w:ascii="Times New Roman" w:hAnsi="Times New Roman" w:cs="Times New Roman"/>
          <w:color w:val="4472C4" w:themeColor="accent1"/>
          <w:sz w:val="24"/>
        </w:rPr>
        <w:t xml:space="preserve">for </w:t>
      </w:r>
      <w:r w:rsidR="006D17A5">
        <w:rPr>
          <w:rFonts w:ascii="Times New Roman" w:hAnsi="Times New Roman" w:cs="Times New Roman"/>
          <w:color w:val="4472C4" w:themeColor="accent1"/>
          <w:sz w:val="24"/>
        </w:rPr>
        <w:t xml:space="preserve">an </w:t>
      </w:r>
      <w:r w:rsidR="00737A33" w:rsidRPr="00737A33">
        <w:rPr>
          <w:rFonts w:ascii="Times New Roman" w:hAnsi="Times New Roman" w:cs="Times New Roman"/>
          <w:color w:val="4472C4" w:themeColor="accent1"/>
          <w:sz w:val="24"/>
        </w:rPr>
        <w:t>explanation, see</w:t>
      </w:r>
      <w:r w:rsidR="00737A33">
        <w:rPr>
          <w:rFonts w:ascii="Times New Roman" w:hAnsi="Times New Roman" w:cs="Times New Roman"/>
          <w:sz w:val="24"/>
        </w:rPr>
        <w:t xml:space="preserve"> </w:t>
      </w:r>
      <w:r>
        <w:rPr>
          <w:rFonts w:ascii="Times New Roman" w:hAnsi="Times New Roman" w:cs="Times New Roman"/>
          <w:sz w:val="24"/>
        </w:rPr>
        <w:t>Hedge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21DC5">
        <w:rPr>
          <w:rFonts w:ascii="Times New Roman" w:hAnsi="Times New Roman" w:cs="Times New Roman"/>
          <w:sz w:val="24"/>
          <w:szCs w:val="24"/>
        </w:rPr>
        <w:t xml:space="preserve">However, </w:t>
      </w:r>
      <w:r>
        <w:rPr>
          <w:rFonts w:ascii="Times New Roman" w:hAnsi="Times New Roman" w:cs="Times New Roman"/>
          <w:sz w:val="24"/>
          <w:szCs w:val="24"/>
        </w:rPr>
        <w:t xml:space="preserve">some studies have found that </w:t>
      </w:r>
      <w:r w:rsidR="00780F06">
        <w:rPr>
          <w:rFonts w:ascii="Times New Roman" w:hAnsi="Times New Roman" w:cs="Times New Roman"/>
          <w:sz w:val="24"/>
          <w:szCs w:val="24"/>
        </w:rPr>
        <w:t>attention (and</w:t>
      </w:r>
      <w:r>
        <w:rPr>
          <w:rFonts w:ascii="Times New Roman" w:hAnsi="Times New Roman" w:cs="Times New Roman"/>
          <w:sz w:val="24"/>
          <w:szCs w:val="24"/>
        </w:rPr>
        <w:t xml:space="preserve"> congruency effects</w:t>
      </w:r>
      <w:r w:rsidR="00780F06">
        <w:rPr>
          <w:rFonts w:ascii="Times New Roman" w:hAnsi="Times New Roman" w:cs="Times New Roman"/>
          <w:sz w:val="24"/>
          <w:szCs w:val="24"/>
        </w:rPr>
        <w:t>)</w:t>
      </w:r>
      <w:r>
        <w:rPr>
          <w:rFonts w:ascii="Times New Roman" w:hAnsi="Times New Roman" w:cs="Times New Roman"/>
          <w:sz w:val="24"/>
          <w:szCs w:val="24"/>
        </w:rPr>
        <w:t xml:space="preserve"> </w:t>
      </w:r>
      <w:r w:rsidR="00780F06">
        <w:rPr>
          <w:rFonts w:ascii="Times New Roman" w:hAnsi="Times New Roman" w:cs="Times New Roman"/>
          <w:sz w:val="24"/>
          <w:szCs w:val="24"/>
        </w:rPr>
        <w:t xml:space="preserve">may fluctuate towards and away from threat </w:t>
      </w:r>
      <w:r w:rsidR="006A266C">
        <w:rPr>
          <w:rFonts w:ascii="Times New Roman" w:hAnsi="Times New Roman" w:cs="Times New Roman"/>
          <w:sz w:val="24"/>
          <w:szCs w:val="24"/>
        </w:rPr>
        <w:t>during the course of an experiment (</w:t>
      </w:r>
      <w:r>
        <w:fldChar w:fldCharType="begin"/>
      </w:r>
      <w:r w:rsidR="00120B5D">
        <w:rPr>
          <w:rFonts w:ascii="Times New Roman" w:hAnsi="Times New Roman" w:cs="Times New Roman"/>
          <w:sz w:val="24"/>
          <w:szCs w:val="24"/>
        </w:rPr>
        <w:instrText xml:space="preserve"> ADDIN ZOTERO_ITEM CSL_CITATION {"citationID":"dNWqqamU","properties":{"formattedCitation":"(Zvielli et al., 2015)","plainCitation":"(Zvielli et al., 2015)","dontUpdate":true,"noteIndex":0},"citationItems":[{"id":2196,"uris":["http://zotero.org/users/3283490/items/GNT2N7ZE"],"uri":["http://zotero.org/users/3283490/items/GNT2N7ZE"],"itemData":{"id":2196,"type":"article-journal","abstract":"Biases of emotional attention are believed to be central to human (mal)adaptation and multiple forms of psychopathology. Yet fundamental questions remain regarding the nature and empirical study of attentional bias (AB). We thus aimed to (a) test a novel conceptualization and related operationalization of AB expression in time and (b) illuminate the nature of AB and specifically its temporal expression. We examined AB expression in time by means of a novel trial-level bias score (TL-BS) analysis of dot probe task data in two experiments—among spider phobics and healthy controls, and among smoking-deprived daily smokers. Findings revealed evidence of the dynamic expression of AB in time; furthermore, TL-BS parameters demonstrated unique associations with psychopathology and addiction beyond traditional bias score. The present research may help to bring the conceptualization and quantification of AB closer to the nature of the phenomenon and thereby advance basic and clinical knowledge.","container-title":"Clinical Psychological Science","DOI":"10.1177/2167702614551572","ISSN":"2167-7026, 2167-7034","issue":"5","journalAbbreviation":"Clinical Psychological Science","language":"en","page":"772-788","source":"DOI.org (Crossref)","title":"Temporal Dynamics of Attentional Bias","volume":"3","author":[{"family":"Zvielli","given":"Ariel"},{"family":"Bernstein","given":"Amit"},{"family":"Koster","given":"Ernst H. W."}],"issued":{"date-parts":[["2015",9]]}}}],"schema":"https://github.com/citation-style-language/schema/raw/master/csl-citation.json"}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Zvielli et al., 2015)</w:t>
      </w:r>
      <w:r>
        <w:rPr>
          <w:rFonts w:ascii="Times New Roman" w:hAnsi="Times New Roman" w:cs="Times New Roman"/>
          <w:sz w:val="24"/>
          <w:szCs w:val="24"/>
        </w:rPr>
        <w:fldChar w:fldCharType="end"/>
      </w:r>
      <w:r w:rsidR="006A266C">
        <w:rPr>
          <w:rFonts w:ascii="Times New Roman" w:hAnsi="Times New Roman" w:cs="Times New Roman"/>
          <w:sz w:val="24"/>
          <w:szCs w:val="24"/>
        </w:rPr>
        <w:t xml:space="preserve">.  This suggests </w:t>
      </w:r>
      <w:r w:rsidR="00780F06">
        <w:rPr>
          <w:rFonts w:ascii="Times New Roman" w:hAnsi="Times New Roman" w:cs="Times New Roman"/>
          <w:sz w:val="24"/>
          <w:szCs w:val="24"/>
        </w:rPr>
        <w:t xml:space="preserve">attention bias variability </w:t>
      </w:r>
      <w:r w:rsidR="00695D4C">
        <w:rPr>
          <w:rFonts w:ascii="Times New Roman" w:hAnsi="Times New Roman" w:cs="Times New Roman"/>
          <w:sz w:val="24"/>
          <w:szCs w:val="24"/>
        </w:rPr>
        <w:t xml:space="preserve">could </w:t>
      </w:r>
      <w:r w:rsidR="00780F06">
        <w:rPr>
          <w:rFonts w:ascii="Times New Roman" w:hAnsi="Times New Roman" w:cs="Times New Roman"/>
          <w:sz w:val="24"/>
          <w:szCs w:val="24"/>
        </w:rPr>
        <w:t xml:space="preserve">be </w:t>
      </w:r>
      <w:r w:rsidR="00671A3A">
        <w:rPr>
          <w:rFonts w:ascii="Times New Roman" w:hAnsi="Times New Roman" w:cs="Times New Roman"/>
          <w:sz w:val="24"/>
          <w:szCs w:val="24"/>
        </w:rPr>
        <w:t xml:space="preserve">a meaningful </w:t>
      </w:r>
      <w:r w:rsidR="006A266C">
        <w:rPr>
          <w:rFonts w:ascii="Times New Roman" w:hAnsi="Times New Roman" w:cs="Times New Roman"/>
          <w:sz w:val="24"/>
          <w:szCs w:val="24"/>
        </w:rPr>
        <w:t>element of a</w:t>
      </w:r>
      <w:r w:rsidR="00671A3A">
        <w:rPr>
          <w:rFonts w:ascii="Times New Roman" w:hAnsi="Times New Roman" w:cs="Times New Roman"/>
          <w:sz w:val="24"/>
          <w:szCs w:val="24"/>
        </w:rPr>
        <w:t>ttention bias</w:t>
      </w:r>
      <w:r w:rsidR="00695D4C">
        <w:rPr>
          <w:rFonts w:ascii="Times New Roman" w:hAnsi="Times New Roman" w:cs="Times New Roman"/>
          <w:sz w:val="24"/>
          <w:szCs w:val="24"/>
        </w:rPr>
        <w:t xml:space="preserve">. </w:t>
      </w:r>
      <w:r w:rsidR="00780F06">
        <w:rPr>
          <w:rFonts w:ascii="Times New Roman" w:hAnsi="Times New Roman" w:cs="Times New Roman"/>
          <w:sz w:val="24"/>
          <w:szCs w:val="24"/>
        </w:rPr>
        <w:t xml:space="preserve">However, these </w:t>
      </w:r>
      <w:r>
        <w:rPr>
          <w:rFonts w:ascii="Times New Roman" w:hAnsi="Times New Roman" w:cs="Times New Roman"/>
          <w:sz w:val="24"/>
          <w:szCs w:val="24"/>
        </w:rPr>
        <w:t xml:space="preserve">trial-to-trial </w:t>
      </w:r>
      <w:r w:rsidR="00671A3A">
        <w:rPr>
          <w:rFonts w:ascii="Times New Roman" w:hAnsi="Times New Roman" w:cs="Times New Roman"/>
          <w:sz w:val="24"/>
          <w:szCs w:val="24"/>
        </w:rPr>
        <w:t xml:space="preserve">variability </w:t>
      </w:r>
      <w:r w:rsidR="00780F06">
        <w:rPr>
          <w:rFonts w:ascii="Times New Roman" w:hAnsi="Times New Roman" w:cs="Times New Roman"/>
          <w:sz w:val="24"/>
          <w:szCs w:val="24"/>
        </w:rPr>
        <w:t>measures appear to be strongly related to general</w:t>
      </w:r>
      <w:r>
        <w:rPr>
          <w:rFonts w:ascii="Times New Roman" w:hAnsi="Times New Roman" w:cs="Times New Roman"/>
          <w:sz w:val="24"/>
          <w:szCs w:val="24"/>
        </w:rPr>
        <w:t xml:space="preserve"> RT</w:t>
      </w:r>
      <w:r w:rsidR="00780F06">
        <w:rPr>
          <w:rFonts w:ascii="Times New Roman" w:hAnsi="Times New Roman" w:cs="Times New Roman"/>
          <w:sz w:val="24"/>
          <w:szCs w:val="24"/>
        </w:rPr>
        <w:t xml:space="preserve"> variability</w:t>
      </w:r>
      <w:r>
        <w:rPr>
          <w:rFonts w:ascii="Times New Roman" w:hAnsi="Times New Roman" w:cs="Times New Roman"/>
          <w:sz w:val="24"/>
          <w:szCs w:val="24"/>
        </w:rPr>
        <w:t xml:space="preserve"> (</w:t>
      </w:r>
      <w:r>
        <w:fldChar w:fldCharType="begin"/>
      </w:r>
      <w:r>
        <w:rPr>
          <w:rFonts w:ascii="Times New Roman" w:hAnsi="Times New Roman" w:cs="Times New Roman"/>
          <w:sz w:val="24"/>
          <w:szCs w:val="24"/>
        </w:rPr>
        <w:instrText>ADDIN ZOTERO_ITEM CSL_CITATION {"citationID":"gyJ3EIgm","properties":{"formattedCitation":"(Carlson &amp; Fang, 2020; Kruijt et al., 2016)","plainCitation":"(Carlson &amp; Fang, 2020; Kruijt et al., 2016)","dontUpdate":true,"noteIndex":0},"citationItems":[{"id":2523,"uris":["http://zotero.org/users/3283490/items/8P8HYVEV"],"uri":["http://zotero.org/users/3283490/items/8P8HYVEV"],"itemData":{"id":2523,"type":"article-journal","abstract":"A new method of calculating attentional bias from the dot-probe task measures fluctuations in bias towards and away from emotional stimuli over time using trial level bias score metrics. We assessed the stability and reliability of traditional attentional bias scores and trial level bias score measures of attentional bias across time in two five-block dot-probe task experiments in non-clinical samples. In experiments 1 and 2, both traditional attentional bias scores and trial level bias score measures of attentional bias did not habituate/decrease across time. In general, trial level bias score metrics (i.e., attention bias variability as well as the mean biases toward and away from threat) were more reliable than the traditional attention bias measure. This pattern was observed across both experiments. The traditional bias score, however, did improve in reliability in the later blocks of the fearful face dot-probe task. Although trial level bias score measures did not habituate and were more reliable across blocks, these measures did not correlate with state or trait anxiety. On the other hand, trial level bias score measures were strongly correlated with general reaction time variability—and after controlling for this effect no longer superior in reliability in comparison to the traditional attention bias measure. We conclude that general response variability should be removed from trial level bias score measures to ensure that they truly reflect attention bias variability.","container-title":"Motivation and Emotion","language":"en","page":"13","source":"Zotero","title":"The stability and reliability of attentional bias measures in the dot-probe task: Evidence from both traditional mean bias scores and trial-level bias scores","author":[{"family":"Carlson","given":"Joshua M"},{"family":"Fang","given":"Lin"}],"issued":{"date-parts":[["2020"]]}}},{"id":2197,"uris":["http://zotero.org/users/3283490/items/2HRTANBX"],"uri":["http://zotero.org/users/3283490/items/2HRTANBX"],"itemData":{"id":2197,"type":"article-journal","abstract":"Background New indices, calculated on data from the widely used Dot Probe Task, were recently proposed to capture variability in biased attention allocation. We observed that it remains unclear which data pattern is meant to be indicative of dynamic bias and thus to be captured by these indices. Moreover, we hypothesized that the new indices are sensitive to SD differences at the response time (RT) level in the absence of bias.\nMethod Randomly generated datasets were analyzed to assess properties of the Attention Bias Variability (ABV) and Trial Level Bias Score (TL-BS) indices. Sensitivity to creating differences in 1) RT standard deviation, 2) mean RT, and 3) bias magnitude were assessed. In addition, two possible definitions of dynamic attention bias were explored by creating differences in 4) frequency of bias switching, and 5) bias magnitude in the presence of constant switching.\nResults ABV and TL-BS indices were found highly sensitive to increasing SD at the response time level, insensitive to increasing bias, linearly sensitive to increasing bias magnitude in the presence of bias switches, and non-linearly sensitive to increasing the frequency of bias switches. The ABV index was also found responsive to increasing mean response times in the absence of bias.\nConclusion Recently proposed DPT derived variability indices cannot uncouple measurement error from bias variability. Significant group differences may be observed even if there is no bias present in any individual dataset. This renders the new indices in their current form unfit for empirical purposes. Our discussion focuses on fostering debate and ideas for new research to validate the potentially very important notion of biased attention being dynamic.","container-title":"PLOS ONE","DOI":"10.1371/journal.pone.0166600","ISSN":"1932-6203","issue":"11","journalAbbreviation":"PLoS ONE","language":"en","page":"e0166600","source":"DOI.org (Crossref)","title":"Capturing Dynamics of Biased Attention: Are New Attention Variability Measures the Way Forward?","title-short":"Capturing Dynamics of Biased Attention","volume":"11","author":[{"family":"Kruijt","given":"Anne-Wil"},{"family":"Field","given":"Andy P."},{"family":"Fox","given":"Elaine"}],"editor":[{"family":"Lu","given":"Zhong-Lin"}],"issued":{"date-parts":[["2016",11,22]]}}}],"schema":"https://github.com/citation-style-language/schema/raw/master/csl-citation.json"}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AUTHOR, 2020; Kruijt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Identifying new sources of potential </w:t>
      </w:r>
      <w:r w:rsidR="006C35B3">
        <w:rPr>
          <w:rFonts w:ascii="Times New Roman" w:hAnsi="Times New Roman" w:cs="Times New Roman"/>
          <w:sz w:val="24"/>
          <w:szCs w:val="24"/>
        </w:rPr>
        <w:t>variation—like</w:t>
      </w:r>
      <w:r>
        <w:rPr>
          <w:rFonts w:ascii="Times New Roman" w:hAnsi="Times New Roman" w:cs="Times New Roman"/>
          <w:sz w:val="24"/>
          <w:szCs w:val="24"/>
        </w:rPr>
        <w:t xml:space="preserve"> carryover effects </w:t>
      </w:r>
      <w:r w:rsidR="006C35B3">
        <w:rPr>
          <w:rFonts w:ascii="Times New Roman" w:hAnsi="Times New Roman" w:cs="Times New Roman"/>
          <w:sz w:val="24"/>
          <w:szCs w:val="24"/>
        </w:rPr>
        <w:t xml:space="preserve">—in </w:t>
      </w:r>
      <w:r>
        <w:rPr>
          <w:rFonts w:ascii="Times New Roman" w:hAnsi="Times New Roman" w:cs="Times New Roman"/>
          <w:sz w:val="24"/>
          <w:szCs w:val="24"/>
        </w:rPr>
        <w:t>the dot-probe task is beneficial because they could be accounted for in future studies.</w:t>
      </w:r>
    </w:p>
    <w:p w14:paraId="0F99336F" w14:textId="77777777" w:rsidR="00A05BCF" w:rsidRDefault="008718CC" w:rsidP="0065645B">
      <w:pPr>
        <w:pStyle w:val="Heading"/>
      </w:pPr>
      <w:r>
        <w:t>Carryover Effects</w:t>
      </w:r>
    </w:p>
    <w:p w14:paraId="0356F561" w14:textId="38ACAC34"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Suppose that an individual’s attention was biased towards a threatening stimulus</w:t>
      </w:r>
      <w:r w:rsidR="006C35B3">
        <w:rPr>
          <w:rFonts w:ascii="Times New Roman" w:hAnsi="Times New Roman" w:cs="Times New Roman"/>
          <w:sz w:val="24"/>
          <w:szCs w:val="24"/>
        </w:rPr>
        <w:t xml:space="preserve">—like </w:t>
      </w:r>
      <w:r>
        <w:rPr>
          <w:rFonts w:ascii="Times New Roman" w:hAnsi="Times New Roman" w:cs="Times New Roman"/>
          <w:sz w:val="24"/>
          <w:szCs w:val="24"/>
        </w:rPr>
        <w:t>a fearful face</w:t>
      </w:r>
      <w:r w:rsidR="006C35B3">
        <w:rPr>
          <w:rFonts w:ascii="Times New Roman" w:hAnsi="Times New Roman" w:cs="Times New Roman"/>
          <w:sz w:val="24"/>
          <w:szCs w:val="24"/>
        </w:rPr>
        <w:t xml:space="preserve">—during </w:t>
      </w:r>
      <w:r>
        <w:rPr>
          <w:rFonts w:ascii="Times New Roman" w:hAnsi="Times New Roman" w:cs="Times New Roman"/>
          <w:sz w:val="24"/>
          <w:szCs w:val="24"/>
        </w:rPr>
        <w:t xml:space="preserve">a congruent trial of a dot-probe task.  Such bias could impact the </w:t>
      </w:r>
      <w:r w:rsidRPr="00737A33">
        <w:rPr>
          <w:rFonts w:ascii="Times New Roman" w:hAnsi="Times New Roman" w:cs="Times New Roman"/>
          <w:color w:val="4472C4" w:themeColor="accent1"/>
          <w:sz w:val="24"/>
          <w:szCs w:val="24"/>
        </w:rPr>
        <w:t>individual</w:t>
      </w:r>
      <w:r w:rsidR="00737A33" w:rsidRPr="00737A33">
        <w:rPr>
          <w:rFonts w:ascii="Times New Roman" w:hAnsi="Times New Roman" w:cs="Times New Roman"/>
          <w:color w:val="4472C4" w:themeColor="accent1"/>
          <w:sz w:val="24"/>
          <w:szCs w:val="24"/>
        </w:rPr>
        <w:t>’s internal state</w:t>
      </w:r>
      <w:r w:rsidRPr="00737A33">
        <w:rPr>
          <w:rFonts w:ascii="Times New Roman" w:hAnsi="Times New Roman" w:cs="Times New Roman"/>
          <w:color w:val="4472C4" w:themeColor="accent1"/>
          <w:sz w:val="24"/>
          <w:szCs w:val="24"/>
        </w:rPr>
        <w:t xml:space="preserve"> </w:t>
      </w:r>
      <w:r>
        <w:fldChar w:fldCharType="begin"/>
      </w:r>
      <w:r>
        <w:rPr>
          <w:rFonts w:ascii="Times New Roman" w:hAnsi="Times New Roman" w:cs="Times New Roman"/>
          <w:sz w:val="24"/>
          <w:szCs w:val="24"/>
        </w:rPr>
        <w:instrText>ADDIN ZOTERO_ITEM CSL_CITATION {"citationID":"ofFG5H0c","properties":{"formattedCitation":"(Panksepp &amp; Watt, 2011)","plainCitation":"(Panksepp &amp; Watt, 2011)","noteIndex":0},"citationItems":[{"id":98816,"uris":["http://zotero.org/users/3283490/items/5KF69MQ9"],"uri":["http://zotero.org/users/3283490/items/5KF69MQ9"],"itemData":{"id":98816,"type":"article-journal","abstract":"A cross-species affective neuroscience strategy for understanding the primary-process (basic) emotions is defended. The need for analyzing the brain and mind in terms of evolutionary stratification of functions into at least primary (instinctual), secondary (learned), and tertiary (thought-related) processes is advanced. When viewed in this context, the contentious battles between basic-emotion theorists and dimensional-constructivist approaches can be seen to be largely nonsubstantial differences among investigators working at different levels of analysis.","container-title":"Emotion Review","DOI":"10.1177/1754073911410741","ISSN":"1754-0739, 1754-0747","issue":"4","journalAbbreviation":"Emotion Review","language":"en","page":"387-396","source":"DOI.org (Crossref)","title":"What is Basic about Basic Emotions? Lasting Lessons from Affective Neuroscience","title-short":"What is Basic about Basic Emotions?","volume":"3","author":[{"family":"Panksepp","given":"Jaak"},{"family":"Watt","given":"Douglas"}],"issued":{"date-parts":[["2011",10]]}}}],"schema":"https://github.com/citation-style-language/schema/raw/master/csl-citation.json"}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(Panksepp &amp; Watt, 2011)</w:t>
      </w:r>
      <w:r>
        <w:rPr>
          <w:rFonts w:ascii="Times New Roman" w:hAnsi="Times New Roman" w:cs="Times New Roman"/>
          <w:sz w:val="24"/>
          <w:szCs w:val="24"/>
        </w:rPr>
        <w:fldChar w:fldCharType="end"/>
      </w:r>
      <w:r>
        <w:rPr>
          <w:rFonts w:ascii="Times New Roman" w:hAnsi="Times New Roman" w:cs="Times New Roman"/>
          <w:sz w:val="24"/>
          <w:szCs w:val="24"/>
        </w:rPr>
        <w:t>, priming</w:t>
      </w:r>
      <w:r w:rsidR="00721DC5">
        <w:rPr>
          <w:rFonts w:ascii="Times New Roman" w:hAnsi="Times New Roman" w:cs="Times New Roman"/>
          <w:sz w:val="24"/>
          <w:szCs w:val="24"/>
        </w:rPr>
        <w:t>,</w:t>
      </w:r>
      <w:r w:rsidR="00737A33" w:rsidRPr="00737A33">
        <w:rPr>
          <w:rFonts w:ascii="Times New Roman" w:hAnsi="Times New Roman" w:cs="Times New Roman"/>
          <w:color w:val="4472C4" w:themeColor="accent1"/>
          <w:sz w:val="24"/>
          <w:szCs w:val="24"/>
        </w:rPr>
        <w:t xml:space="preserve"> or increas</w:t>
      </w:r>
      <w:r w:rsidR="00721DC5">
        <w:rPr>
          <w:rFonts w:ascii="Times New Roman" w:hAnsi="Times New Roman" w:cs="Times New Roman"/>
          <w:color w:val="4472C4" w:themeColor="accent1"/>
          <w:sz w:val="24"/>
          <w:szCs w:val="24"/>
        </w:rPr>
        <w:t>e</w:t>
      </w:r>
      <w:r w:rsidR="00737A33" w:rsidRPr="00737A33">
        <w:rPr>
          <w:rFonts w:ascii="Times New Roman" w:hAnsi="Times New Roman" w:cs="Times New Roman"/>
          <w:color w:val="4472C4" w:themeColor="accent1"/>
          <w:sz w:val="24"/>
          <w:szCs w:val="24"/>
        </w:rPr>
        <w:t xml:space="preserve"> their association </w:t>
      </w:r>
      <w:r w:rsidR="00737A33" w:rsidRPr="00737A33">
        <w:rPr>
          <w:rFonts w:ascii="Times New Roman" w:hAnsi="Times New Roman" w:cs="Times New Roman"/>
          <w:color w:val="4472C4" w:themeColor="accent1"/>
          <w:sz w:val="24"/>
          <w:szCs w:val="24"/>
        </w:rPr>
        <w:lastRenderedPageBreak/>
        <w:t xml:space="preserve">between the target and the threatening cue, </w:t>
      </w:r>
      <w:r w:rsidR="006C35B3">
        <w:rPr>
          <w:rFonts w:ascii="Times New Roman" w:hAnsi="Times New Roman" w:cs="Times New Roman"/>
          <w:color w:val="4472C4" w:themeColor="accent1"/>
          <w:sz w:val="24"/>
          <w:szCs w:val="24"/>
        </w:rPr>
        <w:t xml:space="preserve">which </w:t>
      </w:r>
      <w:r w:rsidR="00721DC5">
        <w:rPr>
          <w:rFonts w:ascii="Times New Roman" w:hAnsi="Times New Roman" w:cs="Times New Roman"/>
          <w:color w:val="4472C4" w:themeColor="accent1"/>
          <w:sz w:val="24"/>
          <w:szCs w:val="24"/>
        </w:rPr>
        <w:t xml:space="preserve">could subsequently </w:t>
      </w:r>
      <w:r w:rsidR="006C35B3">
        <w:rPr>
          <w:rFonts w:ascii="Times New Roman" w:hAnsi="Times New Roman" w:cs="Times New Roman"/>
          <w:color w:val="4472C4" w:themeColor="accent1"/>
          <w:sz w:val="24"/>
          <w:szCs w:val="24"/>
        </w:rPr>
        <w:t>cause</w:t>
      </w:r>
      <w:r w:rsidR="006C35B3" w:rsidRPr="00737A33">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them to be more biased towards threat in </w:t>
      </w:r>
      <w:r w:rsidR="00721DC5">
        <w:rPr>
          <w:rFonts w:ascii="Times New Roman" w:hAnsi="Times New Roman" w:cs="Times New Roman"/>
          <w:sz w:val="24"/>
          <w:szCs w:val="24"/>
        </w:rPr>
        <w:t xml:space="preserve">later </w:t>
      </w:r>
      <w:r>
        <w:rPr>
          <w:rFonts w:ascii="Times New Roman" w:hAnsi="Times New Roman" w:cs="Times New Roman"/>
          <w:sz w:val="24"/>
          <w:szCs w:val="24"/>
        </w:rPr>
        <w:t xml:space="preserve">trials.  A persistent bias for threatening stimuli is quite plausible given that threatening cues can also bring about attentional dwelling towards themselves </w:t>
      </w:r>
      <w:r>
        <w:fldChar w:fldCharType="begin"/>
      </w:r>
      <w:r>
        <w:rPr>
          <w:rFonts w:ascii="Times New Roman" w:hAnsi="Times New Roman" w:cs="Times New Roman"/>
          <w:sz w:val="24"/>
          <w:szCs w:val="24"/>
        </w:rPr>
        <w:instrText>ADDIN ZOTERO_ITEM CSL_CITATION {"citationID":"0g6XgRFO","properties":{"formattedCitation":"(Carlson &amp; Reinke, 2014; Fox et al., 2001)","plainCitation":"(Carlson &amp; Reinke, 2014; Fox et al., 2001)","dontUpdate":true,"noteIndex":0},"citationItems":[{"id":55,"uris":["http://zotero.org/users/3283490/items/54PXUKJH"],"uri":["http://zotero.org/users/3283490/items/54PXUKJH"],"itemData":{"id":55,"type":"article-journal","abstract":"Fearful facial expressions convey threat-related information and automatically elicit modulations in spatial attention. The eye-region appears to be a particularly important feature for recognising and responding to fearful faces. However, it is unknown as to whether or not fearful eyes initiate modulations in spatial attention. In the current study, three dot-probe experiments with fearful and neutral eye stimuli were performed. The results of Experiment 1 demonstrate that fearful eyes capture spatial attention through facilitated attentional orienting to threat and delayed attentional disengagement from threat. In Experiments 2 and 3, these attentional effects were replicated, while ruling out the influence of overall size/shape and brightness differences between fearful and neutral eyes, respectively. Thus, fearful eye-whites appear to be a salient feature of fearful facial expressions that elicit modulations in spatial attention. (PsycINFO Database Record (c) 2016 APA, all rights reserved)","archive":"psyh","archive_location":"2014-40010-006","container-title":"Cognition and Emotion","DOI":"10.1080/02699931.2014.885410","ISSN":"0269-9931","issue":"8","journalAbbreviation":"Cognition and Emotion","note":"publisher: Taylor &amp; Francis","page":"1398-1406","source":"EBSCOhost","title":"Attending to the fear in your eyes: Facilitated orienting and delayed disengagement","volume":"28","author":[{"family":"Carlson","given":"Joshua M."},{"family":"Reinke","given":"Karen S."}],"issued":{"date-parts":[["2014",11]]}}},{"id":92657,"uris":["http://zotero.org/users/3283490/items/YP62XMLK"],"uri":["http://zotero.org/users/3283490/items/YP62XMLK"],"itemData":{"id":92657,"type":"article-journal","container-title":"Journal of Experimental Psychology: General","DOI":"10.1037/0096-3445.130.4.681","ISSN":"1939-2222, 0096-3445","issue":"4","journalAbbreviation":"Journal of Experimental Psychology: General","language":"en","page":"681-700","source":"DOI.org (Crossref)","title":"Do threatening stimuli draw or hold visual attention in subclinical anxiety?","volume":"130","author":[{"family":"Fox","given":"Elaine"},{"family":"Russo","given":"Riccardo"},{"family":"Bowles","given":"Robert"},{"family":"Dutton","given":"Kevin"}],"issued":{"date-parts":[["2001"]]}}}],"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(AUTHOR 2014; Fox et al., 2001)</w:t>
      </w:r>
      <w:r>
        <w:rPr>
          <w:rFonts w:ascii="Times New Roman" w:hAnsi="Times New Roman" w:cs="Times New Roman"/>
          <w:sz w:val="24"/>
          <w:szCs w:val="24"/>
        </w:rPr>
        <w:fldChar w:fldCharType="end"/>
      </w:r>
      <w:r>
        <w:rPr>
          <w:rFonts w:ascii="Times New Roman" w:hAnsi="Times New Roman" w:cs="Times New Roman"/>
          <w:sz w:val="24"/>
          <w:szCs w:val="24"/>
        </w:rPr>
        <w:t xml:space="preserve">. In the past, others have found carryover effects in the emotional </w:t>
      </w:r>
      <w:r w:rsidR="00B34684">
        <w:rPr>
          <w:rFonts w:ascii="Times New Roman" w:hAnsi="Times New Roman" w:cs="Times New Roman"/>
          <w:sz w:val="24"/>
          <w:szCs w:val="24"/>
        </w:rPr>
        <w:t>Stroop</w:t>
      </w:r>
      <w:r>
        <w:rPr>
          <w:rFonts w:ascii="Times New Roman" w:hAnsi="Times New Roman" w:cs="Times New Roman"/>
          <w:sz w:val="24"/>
          <w:szCs w:val="24"/>
        </w:rPr>
        <w:t xml:space="preserve"> </w:t>
      </w:r>
      <w:r>
        <w:fldChar w:fldCharType="begin"/>
      </w:r>
      <w:r>
        <w:rPr>
          <w:rFonts w:ascii="Times New Roman" w:hAnsi="Times New Roman" w:cs="Times New Roman"/>
          <w:sz w:val="24"/>
          <w:szCs w:val="24"/>
        </w:rPr>
        <w:instrText>ADDIN ZOTERO_ITEM CSL_CITATION {"citationID":"HVLicmkx","properties":{"formattedCitation":"(Cane et al., 2009; Clarke et al., 2015; Waters et al., 2005; Wilson et al., 2007)","plainCitation":"(Cane et al., 2009; Clarke et al., 2015; Waters et al., 2005; Wilson et al., 2007)","noteIndex":0},"citationItems":[{"id":99865,"uris":["http://zotero.org/users/3283490/items/T7ENX28M"],"uri":["http://zotero.org/users/3283490/items/T7ENX28M"],"itemData":{"id":99865,"type":"article-journal","abstract":"Abstract\n            Research has shown that attentional bias toward smoking-related stimuli is related to the maintenance of smoking behaviour and the chance of a relapse during a quit attempt. Effects of smoking attentional bias can occur both during smoking stimulus presentation (fast effect) and on stimuli that immediately follow smoking stimuli (slow effect). The current research builds on these findings by closely examining the temporal aspects of these fast and slow effects across groups of different smoking status. In Experiment 1 ( n = 64), smokers, smokers attempting to quit (SATQ) and non-smokers completed an addiction Stroop task using smoking related, negative emotion and neutral stimuli. In Experiment 2 ( n = 32), marijuana smokers and non-marijuana smokers completed an addiction Stroop task using marijuana and neutral stimuli. Results showed fast effects across all smoking groups (except non-smokers) and slow effects in SATQ and marijuana smokers. Furthermore, marijuana smokers showed slow effects over extended periods of time. Results also show a relationship between anxiety, nicotine dependence and attentional bias in SATQ. The implications of these findings are discussed.","container-title":"Journal of Psychopharmacology","DOI":"10.1177/0269881108091253","ISSN":"0269-8811, 1461-7285","issue":"5","journalAbbreviation":"J Psychopharmacol","language":"en","page":"510-519","source":"DOI.org (Crossref)","title":"The addiction Stroop task: examining the fast and slow effects of smoking and marijuana-related cues","title-short":"The addiction Stroop task","volume":"23","author":[{"family":"Cane","given":"Je"},{"family":"Sharma","given":"D"},{"family":"Albery","given":"Ip"}],"issued":{"date-parts":[["2009",7]]}}},{"id":99866,"uris":["http://zotero.org/users/3283490/items/KPPSW3F5"],"uri":["http://zotero.org/users/3283490/items/KPPSW3F5"],"itemData":{"id":99866,"type":"article-journal","container-title":"Addiction Research &amp; Theory","DOI":"10.3109/16066359.2014.922961","ISSN":"1606-6359, 1476-7392","issue":"1","journalAbbreviation":"Addiction Research &amp; Theory","language":"en","page":"24-33","source":"DOI.org (Crossref)","title":"Examining fast and slow effects for alcohol and negative emotion in problem and social drinkers","volume":"23","author":[{"family":"Clarke","given":"Simon Paul"},{"family":"Sharma","given":"Dinkar"},{"family":"Salter","given":"Daniel"}],"issued":{"date-parts":[["2015",1,30]]}}},{"id":2512,"uris":["http://zotero.org/users/3283490/items/G8GNAZJW"],"uri":["http://zotero.org/users/3283490/items/G8GNAZJW"],"itemData":{"id":2512,"type":"article-journal","abstract":"The emotional Stroop task has been the most widely used task to examine attentional bias to emotionally salient stimuli. In one format of this task, words are presented to participants in a mixed randomized or quasi-randomized sequence. Using a mixed smoking Stroop task, we have previously demonstrated that smokers are slower to respond to words which follow smoking-related words than words which follow neutral words. Here we show that this carry-over effect is present in heroin addicts—but not control subjects—in a heroin Stroop task, and in normal subjects in a stress Stroop task. Thus, the effect generalizes to other populations. In addition, an examination of the studies that have collected data from both mixed and blocked formats provides converging evidence for the presence of carry-over effects. We discuss the implications of the carry-over effect for research using the emotional Stroop task.","container-title":"Behaviour Research and Therapy","DOI":"10.1016/j.brat.2004.06.003","ISSN":"00057967","issue":"6","journalAbbreviation":"Behaviour Research and Therapy","language":"en","page":"715-732","source":"DOI.org (Crossref)","title":"Generalizability of carry-over effects in the emotional Stroop task","volume":"43","author":[{"family":"Waters","given":"Andrew J."},{"family":"Sayette","given":"Michael A."},{"family":"Franken","given":"Ingmar H.A."},{"family":"Schwartz","given":"Joseph E."}],"issued":{"date-parts":[["2005",6]]}}},{"id":99868,"uris":["http://zotero.org/users/3283490/items/Y4FQECFJ"],"uri":["http://zotero.org/users/3283490/items/Y4FQECFJ"],"itemData":{"id":99868,"type":"article-journal","container-title":"Nicotine &amp; Tobacco Research","DOI":"10.1080/14622200701243144","ISSN":"1462-2203","issue":"5","journalAbbreviation":"Nicotine &amp; Tobacco Res.","language":"en","page":"613-619","source":"DOI.org (Crossref)","title":"Carry-over effects of smoking cue exposure on working memory performance","volume":"9","author":[{"family":"Wilson","given":"Stephen J."},{"family":"Sayette","given":"Michael A."},{"family":"Fiez","given":"Julie A."},{"family":"Brough","given":"Elizabeth"}],"issued":{"date-parts":[["2007",5]]}}}],"schema":"https://github.com/citation-style-language/schema/raw/master/csl-citation.json"}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(Cane et al., 2009; Clarke et al., 2015; Waters et al., 2005; Wilson et al., 2007)</w:t>
      </w:r>
      <w:r>
        <w:rPr>
          <w:rFonts w:ascii="Times New Roman" w:hAnsi="Times New Roman" w:cs="Times New Roman"/>
          <w:sz w:val="24"/>
          <w:szCs w:val="24"/>
        </w:rPr>
        <w:fldChar w:fldCharType="end"/>
      </w:r>
      <w:r>
        <w:rPr>
          <w:rFonts w:ascii="Times New Roman" w:hAnsi="Times New Roman" w:cs="Times New Roman"/>
          <w:sz w:val="24"/>
          <w:szCs w:val="24"/>
        </w:rPr>
        <w:t xml:space="preserve"> and diagonalized visual probe task </w:t>
      </w:r>
      <w:r>
        <w:fldChar w:fldCharType="begin"/>
      </w:r>
      <w:r>
        <w:rPr>
          <w:rFonts w:ascii="Times New Roman" w:hAnsi="Times New Roman" w:cs="Times New Roman"/>
          <w:sz w:val="24"/>
          <w:szCs w:val="24"/>
        </w:rPr>
        <w:instrText>ADDIN ZOTERO_ITEM CSL_CITATION {"citationID":"WWgMhSTc","properties":{"formattedCitation":"(Gladwin et al., 2019, 2020; Gladwin &amp; Figner, 2019)","plainCitation":"(Gladwin et al., 2019, 2020; Gladwin &amp; Figner, 2019)","noteIndex":0},"citationItems":[{"id":2538,"uris":["http://zotero.org/users/3283490/items/E9RRY2A2"],"uri":["http://zotero.org/users/3283490/items/E9RRY2A2"],"itemData":{"id":2538,"type":"article-journal","abstract":"Concerns have been raised about the reliability of dot-probe tasks. The cued Visual Probe Task (cVPT) uses cues predicting locations of emotional stimuli, which appears to improve reliability. However, cVPT reliability could be aﬀected by individual diﬀerences involving cue features. Here, we assessed speciﬁcally anticipatory reliability. Further, trial-to-trial carryover eﬀects, previously found for stimulus-evoked biases, were tested. 82 participants were analysed, who performed an online procedure including a reversal of the cue mapping. Predicted stimulus categories were neutral and angry faces. CueStimulus Intervals of 400 and 1000 ms were used. An overall anticipatory attentional bias, in terms of RT diﬀerence scores, towards threat was found. Reliability was around .4, similar to previous results despite the mapping reversal procedure. Carryover eﬀects were found with a similar pattern as for non-cued threat-evoked bias. The results conﬁrm a reasonably reliable outcome-focused bias towards threat, showing similar carryover eﬀects as found for stimulus-evoked bias.","container-title":"Journal of Cognitive Psychology","DOI":"10.1080/20445911.2019.1659801","ISSN":"2044-5911, 2044-592X","issue":"7","journalAbbreviation":"Journal of Cognitive Psychology","language":"en","page":"750-759","source":"DOI.org (Crossref)","title":"Anticipation-specific reliability and trial-to-trial carryover of anticipatory attentional bias for threat","volume":"31","author":[{"family":"Gladwin","given":"Thomas E."},{"family":"Figner","given":"Bernd"},{"family":"Vink","given":"Matthijs"}],"issued":{"date-parts":[["2019",10,3]]}}},{"id":2628,"uris":["http://zotero.org/users/3283490/items/N268ITHX"],"uri":["http://zotero.org/users/3283490/items/N268ITHX"],"itemData":{"id":2628,"type":"article-journal","abstract":"Observability of threat-related spatial attentional biases may require previous-trial responses associated with threat-related locations. This carryover eﬀect might aﬀect reliability and correlations. In Study 1, a diagonalized Visual Probe Task was completed online (N=131) with colour, anger, fear and disgust stimuli, with questionnaires on aggression, anxiety, depression and impulsivity. Bias towards negative stimuli was found only following previous targets on the negative location. Study 2 aimed to test an interpretation in terms of cue-evoked attention. Task variants were completed (N=101) with and without removal of the cue when targets appeared. Anger and disgust stimuli and aggression, anxiety and depression scales were used. Carryover was replicated with no interaction with cue oﬀset. Over both tasks, reliability was low and no robust correlations with questionnaires were found. Carryover thus determined whether attentional bias to negative facial expressions was observed, but analyses taking this into account did not improve reliability or reveal correlations.","container-title":"Journal of Cognitive Psychology","DOI":"10.1080/20445911.2020.1805453","ISSN":"2044-5911, 2044-592X","journalAbbreviation":"Journal of Cognitive Psychology","language":"en","page":"1-11","source":"DOI.org (Crossref)","title":"Attentional bias for negative expressions depends on previous target location: replicable effect but unreliable measures","title-short":"Attentional bias for negative expressions depends on previous target location","author":[{"family":"Gladwin","given":"Thomas E."},{"family":"Jewiss","given":"Matt"},{"family":"Vink","given":"Matthijs"}],"issued":{"date-parts":[["2020",8,12]]}}},{"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(Gladwin et al., 2019, 2020; Gladwin &amp; Figner, 2019)</w:t>
      </w:r>
      <w:r>
        <w:rPr>
          <w:rFonts w:ascii="Times New Roman" w:hAnsi="Times New Roman" w:cs="Times New Roman"/>
          <w:sz w:val="24"/>
          <w:szCs w:val="24"/>
        </w:rPr>
        <w:fldChar w:fldCharType="end"/>
      </w:r>
      <w:r>
        <w:rPr>
          <w:rFonts w:ascii="Times New Roman" w:hAnsi="Times New Roman" w:cs="Times New Roman"/>
          <w:sz w:val="24"/>
          <w:szCs w:val="24"/>
        </w:rPr>
        <w:t xml:space="preserve">.  In these tasks, attentional bias to an emotional cue (i.e., difference in RTs between congruent and incongruent trials) is greater when the previous trial is congruent, otherwise known as a </w:t>
      </w:r>
      <w:r>
        <w:rPr>
          <w:rFonts w:ascii="Times New Roman" w:hAnsi="Times New Roman" w:cs="Times New Roman"/>
          <w:i/>
          <w:sz w:val="24"/>
          <w:szCs w:val="24"/>
        </w:rPr>
        <w:t xml:space="preserve">carryover effect </w:t>
      </w:r>
      <w:r>
        <w:fldChar w:fldCharType="begin"/>
      </w:r>
      <w:r>
        <w:rPr>
          <w:rFonts w:ascii="Times New Roman" w:hAnsi="Times New Roman" w:cs="Times New Roman"/>
          <w:i/>
          <w:sz w:val="24"/>
          <w:szCs w:val="24"/>
        </w:rPr>
        <w:instrText>ADDIN ZOTERO_ITEM CSL_CITATION {"citationID":"kmAzWIWx","properties":{"formattedCitation":"(Gladwin et al., 2019)","plainCitation":"(Gladwin et al., 2019)","noteIndex":0},"citationItems":[{"id":2538,"uris":["http://zotero.org/users/3283490/items/E9RRY2A2"],"uri":["http://zotero.org/users/3283490/items/E9RRY2A2"],"itemData":{"id":2538,"type":"article-journal","abstract":"Concerns have been raised about the reliability of dot-probe tasks. The cued Visual Probe Task (cVPT) uses cues predicting locations of emotional stimuli, which appears to improve reliability. However, cVPT reliability could be aﬀected by individual diﬀerences involving cue features. Here, we assessed speciﬁcally anticipatory reliability. Further, trial-to-trial carryover eﬀects, previously found for stimulus-evoked biases, were tested. 82 participants were analysed, who performed an online procedure including a reversal of the cue mapping. Predicted stimulus categories were neutral and angry faces. CueStimulus Intervals of 400 and 1000 ms were used. An overall anticipatory attentional bias, in terms of RT diﬀerence scores, towards threat was found. Reliability was around .4, similar to previous results despite the mapping reversal procedure. Carryover eﬀects were found with a similar pattern as for non-cued threat-evoked bias. The results conﬁrm a reasonably reliable outcome-focused bias towards threat, showing similar carryover eﬀects as found for stimulus-evoked bias.","container-title":"Journal of Cognitive Psychology","DOI":"10.1080/20445911.2019.1659801","ISSN":"2044-5911, 2044-592X","issue":"7","journalAbbreviation":"Journal of Cognitive Psychology","language":"en","page":"750-759","source":"DOI.org (Crossref)","title":"Anticipation-specific reliability and trial-to-trial carryover of anticipatory attentional bias for threat","volume":"31","author":[{"family":"Gladwin","given":"Thomas E."},{"family":"Figner","given":"Bernd"},{"family":"Vink","given":"Matthijs"}],"issued":{"date-parts":[["2019",10,3]]}}}],"schema":"https://github.com/citation-style-language/schema/raw/master/csl-citation.json"}</w:instrText>
      </w:r>
      <w:r>
        <w:rPr>
          <w:rFonts w:ascii="Times New Roman" w:hAnsi="Times New Roman" w:cs="Times New Roman"/>
          <w:i/>
          <w:sz w:val="24"/>
          <w:szCs w:val="24"/>
        </w:rPr>
        <w:fldChar w:fldCharType="separate"/>
      </w:r>
      <w:r>
        <w:rPr>
          <w:rFonts w:ascii="Times New Roman" w:hAnsi="Times New Roman" w:cs="Times New Roman"/>
          <w:sz w:val="24"/>
        </w:rPr>
        <w:t>(Gladwin et al., 2019)</w:t>
      </w:r>
      <w:r>
        <w:rPr>
          <w:rFonts w:ascii="Times New Roman" w:hAnsi="Times New Roman" w:cs="Times New Roman"/>
          <w:i/>
          <w:sz w:val="24"/>
          <w:szCs w:val="24"/>
        </w:rPr>
        <w:fldChar w:fldCharType="end"/>
      </w:r>
      <w:r>
        <w:rPr>
          <w:rFonts w:ascii="Times New Roman" w:hAnsi="Times New Roman" w:cs="Times New Roman"/>
          <w:sz w:val="24"/>
          <w:szCs w:val="24"/>
        </w:rPr>
        <w:t>.</w:t>
      </w:r>
    </w:p>
    <w:p w14:paraId="3A104BBA" w14:textId="535725C0" w:rsidR="00A05BCF" w:rsidRDefault="006C35B3">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As </w:t>
      </w:r>
      <w:r w:rsidR="008718CC">
        <w:rPr>
          <w:rFonts w:ascii="Times New Roman" w:hAnsi="Times New Roman" w:cs="Times New Roman"/>
          <w:sz w:val="24"/>
          <w:szCs w:val="24"/>
        </w:rPr>
        <w:t>for dot-probe studies,</w:t>
      </w:r>
      <w:r w:rsidR="008718CC" w:rsidRPr="00922216">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however, </w:t>
      </w:r>
      <w:r w:rsidR="008718CC" w:rsidRPr="00922216">
        <w:rPr>
          <w:rFonts w:ascii="Times New Roman" w:hAnsi="Times New Roman" w:cs="Times New Roman"/>
          <w:color w:val="4472C4" w:themeColor="accent1"/>
          <w:sz w:val="24"/>
          <w:szCs w:val="24"/>
        </w:rPr>
        <w:t>the</w:t>
      </w:r>
      <w:r w:rsidR="00922216" w:rsidRPr="00922216">
        <w:rPr>
          <w:rFonts w:ascii="Times New Roman" w:hAnsi="Times New Roman" w:cs="Times New Roman"/>
          <w:color w:val="4472C4" w:themeColor="accent1"/>
          <w:sz w:val="24"/>
          <w:szCs w:val="24"/>
        </w:rPr>
        <w:t>re is not yet a clear answer on this topic given the very</w:t>
      </w:r>
      <w:r w:rsidR="008718CC" w:rsidRPr="00922216">
        <w:rPr>
          <w:rFonts w:ascii="Times New Roman" w:hAnsi="Times New Roman" w:cs="Times New Roman"/>
          <w:color w:val="4472C4" w:themeColor="accent1"/>
          <w:sz w:val="24"/>
          <w:szCs w:val="24"/>
        </w:rPr>
        <w:t xml:space="preserve"> </w:t>
      </w:r>
      <w:r w:rsidR="00922216" w:rsidRPr="00922216">
        <w:rPr>
          <w:rFonts w:ascii="Times New Roman" w:hAnsi="Times New Roman" w:cs="Times New Roman"/>
          <w:color w:val="4472C4" w:themeColor="accent1"/>
          <w:sz w:val="24"/>
          <w:szCs w:val="24"/>
        </w:rPr>
        <w:t xml:space="preserve">limited number of studies. </w:t>
      </w:r>
      <w:r w:rsidR="008718CC">
        <w:rPr>
          <w:rFonts w:ascii="Times New Roman" w:hAnsi="Times New Roman" w:cs="Times New Roman"/>
          <w:sz w:val="24"/>
          <w:szCs w:val="24"/>
        </w:rPr>
        <w:t xml:space="preserve">In one dot-probe study that used threatening faces, no carryover effects were observed </w:t>
      </w:r>
      <w:r w:rsidR="008718CC">
        <w:fldChar w:fldCharType="begin"/>
      </w:r>
      <w:r w:rsidR="008718CC">
        <w:rPr>
          <w:rFonts w:ascii="Times New Roman" w:hAnsi="Times New Roman" w:cs="Times New Roman"/>
          <w:sz w:val="24"/>
          <w:szCs w:val="24"/>
        </w:rPr>
        <w:instrText>ADDIN ZOTERO_ITEM CSL_CITATION {"citationID":"bPl2cVdS","properties":{"formattedCitation":"(Hill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w:instrText>
      </w:r>
      <w:r w:rsidR="008718CC">
        <w:rPr>
          <w:rFonts w:ascii="Times New Roman" w:hAnsi="Times New Roman" w:cs="Times New Roman"/>
          <w:sz w:val="24"/>
          <w:szCs w:val="24"/>
        </w:rPr>
        <w:fldChar w:fldCharType="separate"/>
      </w:r>
      <w:r w:rsidR="008718CC">
        <w:rPr>
          <w:rFonts w:ascii="Times New Roman" w:hAnsi="Times New Roman" w:cs="Times New Roman"/>
          <w:sz w:val="24"/>
        </w:rPr>
        <w:t>(Hill &amp; Duval, 2016)</w:t>
      </w:r>
      <w:r w:rsidR="008718CC">
        <w:rPr>
          <w:rFonts w:ascii="Times New Roman" w:hAnsi="Times New Roman" w:cs="Times New Roman"/>
          <w:sz w:val="24"/>
          <w:szCs w:val="24"/>
        </w:rPr>
        <w:fldChar w:fldCharType="end"/>
      </w:r>
      <w:r w:rsidR="008718CC">
        <w:rPr>
          <w:rFonts w:ascii="Times New Roman" w:hAnsi="Times New Roman" w:cs="Times New Roman"/>
          <w:sz w:val="24"/>
          <w:szCs w:val="24"/>
        </w:rPr>
        <w:t xml:space="preserve">. In another study, carryover effects were only observed for accuracy measures, and not RTs (for non-face stimuli, </w:t>
      </w:r>
      <w:r w:rsidR="008718CC">
        <w:fldChar w:fldCharType="begin"/>
      </w:r>
      <w:r w:rsidR="008718CC">
        <w:rPr>
          <w:rFonts w:ascii="Times New Roman" w:hAnsi="Times New Roman" w:cs="Times New Roman"/>
          <w:sz w:val="24"/>
          <w:szCs w:val="24"/>
        </w:rPr>
        <w:instrText>ADDIN ZOTERO_ITEM CSL_CITATION {"citationID":"59JpkbZK","properties":{"formattedCitation":"(Gladwin, 2017)","plainCitation":"(Gladwin, 2017)","dontUpdate":true,"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E."}],"issued":{"date-parts":[["2017"]]}}}],"schema":"https://github.com/citation-style-language/schema/raw/master/csl-citation.json"}</w:instrText>
      </w:r>
      <w:r w:rsidR="008718CC">
        <w:rPr>
          <w:rFonts w:ascii="Times New Roman" w:hAnsi="Times New Roman" w:cs="Times New Roman"/>
          <w:sz w:val="24"/>
          <w:szCs w:val="24"/>
        </w:rPr>
        <w:fldChar w:fldCharType="separate"/>
      </w:r>
      <w:r w:rsidR="008718CC">
        <w:rPr>
          <w:rFonts w:ascii="Times New Roman" w:hAnsi="Times New Roman" w:cs="Times New Roman"/>
          <w:sz w:val="24"/>
        </w:rPr>
        <w:t>Gladwin, 2017)</w:t>
      </w:r>
      <w:r w:rsidR="008718CC">
        <w:rPr>
          <w:rFonts w:ascii="Times New Roman" w:hAnsi="Times New Roman" w:cs="Times New Roman"/>
          <w:sz w:val="24"/>
          <w:szCs w:val="24"/>
        </w:rPr>
        <w:fldChar w:fldCharType="end"/>
      </w:r>
      <w:r w:rsidR="008718CC">
        <w:rPr>
          <w:rFonts w:ascii="Times New Roman" w:hAnsi="Times New Roman" w:cs="Times New Roman"/>
          <w:sz w:val="24"/>
          <w:szCs w:val="24"/>
        </w:rPr>
        <w:t xml:space="preserve">. But these two studies have serious limitations: one used a small sample </w:t>
      </w:r>
      <w:r w:rsidR="008718CC">
        <w:fldChar w:fldCharType="begin"/>
      </w:r>
      <w:r w:rsidR="008718CC">
        <w:rPr>
          <w:rFonts w:ascii="Times New Roman" w:hAnsi="Times New Roman" w:cs="Times New Roman"/>
          <w:sz w:val="24"/>
          <w:szCs w:val="24"/>
        </w:rPr>
        <w:instrText>ADDIN ZOTERO_ITEM CSL_CITATION {"citationID":"T0t4wSlU","properties":{"formattedCitation":"(Gladwin, 2017a)","plainCitation":"(Gladwin, 2017a)","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E."}],"issued":{"date-parts":[["2017"]]}}}],"schema":"https://github.com/citation-style-language/schema/raw/master/csl-citation.json"}</w:instrText>
      </w:r>
      <w:r w:rsidR="008718CC">
        <w:rPr>
          <w:rFonts w:ascii="Times New Roman" w:hAnsi="Times New Roman" w:cs="Times New Roman"/>
          <w:sz w:val="24"/>
          <w:szCs w:val="24"/>
        </w:rPr>
        <w:fldChar w:fldCharType="separate"/>
      </w:r>
      <w:r w:rsidR="008718CC">
        <w:rPr>
          <w:rFonts w:ascii="Times New Roman" w:hAnsi="Times New Roman" w:cs="Times New Roman"/>
          <w:sz w:val="24"/>
        </w:rPr>
        <w:t>(Gladwin, 2017a)</w:t>
      </w:r>
      <w:r w:rsidR="008718CC">
        <w:rPr>
          <w:rFonts w:ascii="Times New Roman" w:hAnsi="Times New Roman" w:cs="Times New Roman"/>
          <w:sz w:val="24"/>
          <w:szCs w:val="24"/>
        </w:rPr>
        <w:fldChar w:fldCharType="end"/>
      </w:r>
      <w:r w:rsidR="008718CC">
        <w:rPr>
          <w:rFonts w:ascii="Times New Roman" w:hAnsi="Times New Roman" w:cs="Times New Roman"/>
          <w:sz w:val="24"/>
          <w:szCs w:val="24"/>
        </w:rPr>
        <w:t xml:space="preserve">, and the other measured carryover effects after attention training was administered </w:t>
      </w:r>
      <w:r w:rsidR="008718CC">
        <w:fldChar w:fldCharType="begin"/>
      </w:r>
      <w:r w:rsidR="008718CC">
        <w:rPr>
          <w:rFonts w:ascii="Times New Roman" w:hAnsi="Times New Roman" w:cs="Times New Roman"/>
          <w:sz w:val="24"/>
          <w:szCs w:val="24"/>
        </w:rPr>
        <w:instrText>ADDIN ZOTERO_ITEM CSL_CITATION {"citationID":"eemsC6xY","properties":{"formattedCitation":"(Hill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w:instrText>
      </w:r>
      <w:r w:rsidR="008718CC">
        <w:rPr>
          <w:rFonts w:ascii="Times New Roman" w:hAnsi="Times New Roman" w:cs="Times New Roman"/>
          <w:sz w:val="24"/>
          <w:szCs w:val="24"/>
        </w:rPr>
        <w:fldChar w:fldCharType="separate"/>
      </w:r>
      <w:r w:rsidR="008718CC">
        <w:rPr>
          <w:rFonts w:ascii="Times New Roman" w:hAnsi="Times New Roman" w:cs="Times New Roman"/>
          <w:sz w:val="24"/>
        </w:rPr>
        <w:t>(Hill &amp; Duval, 2016)</w:t>
      </w:r>
      <w:r w:rsidR="008718CC">
        <w:rPr>
          <w:rFonts w:ascii="Times New Roman" w:hAnsi="Times New Roman" w:cs="Times New Roman"/>
          <w:sz w:val="24"/>
          <w:szCs w:val="24"/>
        </w:rPr>
        <w:fldChar w:fldCharType="end"/>
      </w:r>
      <w:r w:rsidR="008718CC">
        <w:rPr>
          <w:rFonts w:ascii="Times New Roman" w:hAnsi="Times New Roman" w:cs="Times New Roman"/>
          <w:sz w:val="24"/>
          <w:szCs w:val="24"/>
        </w:rPr>
        <w:t>. Here we improve upon these limitations by examining the same question with a large sample of healthy undergraduate students who completed a typical dot-probe task.</w:t>
      </w:r>
    </w:p>
    <w:p w14:paraId="1E35EEF9" w14:textId="77777777" w:rsidR="00A05BCF" w:rsidRDefault="008718CC" w:rsidP="0065645B">
      <w:pPr>
        <w:pStyle w:val="Heading"/>
      </w:pPr>
      <w:r>
        <w:t>The Current Study</w:t>
      </w:r>
    </w:p>
    <w:p w14:paraId="161D761D" w14:textId="7199A216"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 current study, we sought to test </w:t>
      </w:r>
      <w:r w:rsidR="00737A33" w:rsidRPr="00737A33">
        <w:rPr>
          <w:rFonts w:ascii="Times New Roman" w:hAnsi="Times New Roman" w:cs="Times New Roman"/>
          <w:color w:val="4472C4" w:themeColor="accent1"/>
          <w:sz w:val="24"/>
          <w:szCs w:val="24"/>
        </w:rPr>
        <w:t xml:space="preserve">carryover </w:t>
      </w:r>
      <w:r w:rsidRPr="00737A33">
        <w:rPr>
          <w:rFonts w:ascii="Times New Roman" w:hAnsi="Times New Roman" w:cs="Times New Roman"/>
          <w:color w:val="4472C4" w:themeColor="accent1"/>
          <w:sz w:val="24"/>
          <w:szCs w:val="24"/>
        </w:rPr>
        <w:t xml:space="preserve">effects </w:t>
      </w:r>
      <w:r w:rsidR="00737A33" w:rsidRPr="00737A33">
        <w:rPr>
          <w:rFonts w:ascii="Times New Roman" w:hAnsi="Times New Roman" w:cs="Times New Roman"/>
          <w:color w:val="4472C4" w:themeColor="accent1"/>
          <w:sz w:val="24"/>
          <w:szCs w:val="24"/>
        </w:rPr>
        <w:t xml:space="preserve">for threat in the </w:t>
      </w:r>
      <w:r>
        <w:rPr>
          <w:rFonts w:ascii="Times New Roman" w:hAnsi="Times New Roman" w:cs="Times New Roman"/>
          <w:sz w:val="24"/>
          <w:szCs w:val="24"/>
        </w:rPr>
        <w:t>dot-probe task. To test this question, we performed a secondary data analysis on two dot-probe experiments with fearful facial stimuli (Experiment 1) and threatening pictorial stimuli (Experiment 2</w:t>
      </w:r>
      <w:r w:rsidR="00721DC5">
        <w:rPr>
          <w:rFonts w:ascii="Times New Roman" w:hAnsi="Times New Roman" w:cs="Times New Roman"/>
          <w:sz w:val="24"/>
          <w:szCs w:val="24"/>
        </w:rPr>
        <w:t xml:space="preserve">; </w:t>
      </w:r>
      <w:r>
        <w:rPr>
          <w:rFonts w:ascii="Times New Roman" w:hAnsi="Times New Roman" w:cs="Times New Roman"/>
          <w:sz w:val="24"/>
          <w:szCs w:val="24"/>
        </w:rPr>
        <w:t>AUTHOR, 2020).</w:t>
      </w:r>
      <w:r w:rsidR="009B03B0">
        <w:rPr>
          <w:rFonts w:ascii="Times New Roman" w:hAnsi="Times New Roman" w:cs="Times New Roman"/>
          <w:sz w:val="24"/>
          <w:szCs w:val="24"/>
        </w:rPr>
        <w:t xml:space="preserve">  </w:t>
      </w:r>
      <w:r w:rsidR="009B03B0">
        <w:rPr>
          <w:rFonts w:ascii="Times New Roman" w:hAnsi="Times New Roman" w:cs="Times New Roman"/>
          <w:color w:val="4472C4" w:themeColor="accent1"/>
          <w:sz w:val="24"/>
          <w:szCs w:val="24"/>
        </w:rPr>
        <w:t xml:space="preserve">We consider fearful faces and pictorial images of threat to be threatening because a recent meta-analysis on threat detection examined both of them </w:t>
      </w:r>
      <w:r w:rsidR="009B03B0">
        <w:rPr>
          <w:rFonts w:ascii="Times New Roman" w:hAnsi="Times New Roman" w:cs="Times New Roman"/>
          <w:color w:val="4472C4" w:themeColor="accent1"/>
          <w:sz w:val="24"/>
          <w:szCs w:val="24"/>
        </w:rPr>
        <w:fldChar w:fldCharType="begin"/>
      </w:r>
      <w:r w:rsidR="009B03B0">
        <w:rPr>
          <w:rFonts w:ascii="Times New Roman" w:hAnsi="Times New Roman" w:cs="Times New Roman"/>
          <w:color w:val="4472C4" w:themeColor="accent1"/>
          <w:sz w:val="24"/>
          <w:szCs w:val="24"/>
        </w:rPr>
        <w:instrText xml:space="preserve"> ADDIN ZOTERO_ITEM CSL_CITATION {"citationID":"iLjvoYzv","properties":{"formattedCitation":"(Hedger et al., 2016)","plainCitation":"(Hedger et al., 2016)","noteIndex":0},"citationItems":[{"id":838,"uris":["http://zotero.org/users/3283490/items/X4CDKSBI"],"uri":["http://zotero.org/users/3283490/items/X4CDKSBI"],"itemData":{"id":838,"type":"article-journal","abstract":"Given capacity limits, only a subset of stimuli give rise to a conscious percept. Neurocognitive models suggest that humans have evolved mechanisms that operate without awareness and prioritize threatening stimuli over neutral stimuli in subsequent perception. In this meta-analysis, we review evidence for this ‘standard hypothesis’ emanating from 3 widely used, but rather different experimental paradigms that have been used to manipulate awareness. We found a small pooled threat-bias effect in the masked visual probe paradigm, a medium effect in the binocular rivalry paradigm and highly inconsistent effects in the breaking continuous flash suppression paradigm. Substantial heterogeneity was explained by the stimulus type: the only threat stimuli that were robustly prioritized across all 3 paradigms were fearful faces. Meta regression revealed that anxiety may modulate threat-biases, but only under specific presentation conditions. We also found that insufficiently rigorous awareness measures, inadequate control of response biases and low level confounds may undermine claims of genuine unconscious threat processing. Considering the data together, we suggest that uncritical acceptance of the standard hypothesis is premature: current behavioral evidence for threat-sensitive visual processing that operates without awareness is weak.","container-title":"Psychological Bulletin","DOI":"10.1037/bul0000054","ISSN":"1939-1455, 0033-2909","issue":"9","language":"en","page":"934-968","source":"Crossref","title":"Are visual threats prioritized without awareness? A critical review and meta-analysis involving 3 behavioral paradigms and 2696 observers.","title-short":"Are visual threats prioritized without awareness?","volume":"142","author":[{"family":"Hedger","given":"Nicholas"},{"family":"Gray","given":"Katie L. H."},{"family":"Garner","given":"Matthew"},{"family":"Adams","given":"Wendy J."}],"issued":{"date-parts":[["2016"]]}}}],"schema":"https://github.com/citation-style-language/schema/raw/master/csl-citation.json"} </w:instrText>
      </w:r>
      <w:r w:rsidR="009B03B0">
        <w:rPr>
          <w:rFonts w:ascii="Times New Roman" w:hAnsi="Times New Roman" w:cs="Times New Roman"/>
          <w:color w:val="4472C4" w:themeColor="accent1"/>
          <w:sz w:val="24"/>
          <w:szCs w:val="24"/>
        </w:rPr>
        <w:fldChar w:fldCharType="separate"/>
      </w:r>
      <w:r w:rsidR="009B03B0" w:rsidRPr="009B03B0">
        <w:rPr>
          <w:rFonts w:ascii="Times New Roman" w:hAnsi="Times New Roman" w:cs="Times New Roman"/>
          <w:sz w:val="24"/>
        </w:rPr>
        <w:t>(Hedger et al., 2016)</w:t>
      </w:r>
      <w:r w:rsidR="009B03B0">
        <w:rPr>
          <w:rFonts w:ascii="Times New Roman" w:hAnsi="Times New Roman" w:cs="Times New Roman"/>
          <w:color w:val="4472C4" w:themeColor="accent1"/>
          <w:sz w:val="24"/>
          <w:szCs w:val="24"/>
        </w:rPr>
        <w:fldChar w:fldCharType="end"/>
      </w:r>
      <w:r w:rsidR="009B03B0">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Based on previous research (Gladwin et al., 2019, 2020), we hypothesized that there would be such an influence (as indicated by an interaction between previous trial congruency and current trial congruency).  More specifically, we expected that current trial congruency effects would be larger when the previous trial was congruent, relative to when it was incongruent (see Figure 1B). If our hypothesis </w:t>
      </w:r>
      <w:r w:rsidR="00210CF0">
        <w:rPr>
          <w:rFonts w:ascii="Times New Roman" w:hAnsi="Times New Roman" w:cs="Times New Roman"/>
          <w:sz w:val="24"/>
          <w:szCs w:val="24"/>
        </w:rPr>
        <w:t xml:space="preserve">was </w:t>
      </w:r>
      <w:r>
        <w:rPr>
          <w:rFonts w:ascii="Times New Roman" w:hAnsi="Times New Roman" w:cs="Times New Roman"/>
          <w:sz w:val="24"/>
          <w:szCs w:val="24"/>
        </w:rPr>
        <w:t xml:space="preserve">confirmed, we </w:t>
      </w:r>
      <w:r w:rsidR="00210CF0">
        <w:rPr>
          <w:rFonts w:ascii="Times New Roman" w:hAnsi="Times New Roman" w:cs="Times New Roman"/>
          <w:sz w:val="24"/>
          <w:szCs w:val="24"/>
        </w:rPr>
        <w:t xml:space="preserve">would </w:t>
      </w:r>
      <w:r>
        <w:rPr>
          <w:rFonts w:ascii="Times New Roman" w:hAnsi="Times New Roman" w:cs="Times New Roman"/>
          <w:sz w:val="24"/>
          <w:szCs w:val="24"/>
        </w:rPr>
        <w:t xml:space="preserve">have identified an important source of variability in the dot-probe task. On the other hand, if our hypothesis </w:t>
      </w:r>
      <w:r w:rsidR="00210CF0">
        <w:rPr>
          <w:rFonts w:ascii="Times New Roman" w:hAnsi="Times New Roman" w:cs="Times New Roman"/>
          <w:sz w:val="24"/>
          <w:szCs w:val="24"/>
        </w:rPr>
        <w:t xml:space="preserve">was </w:t>
      </w:r>
      <w:r>
        <w:rPr>
          <w:rFonts w:ascii="Times New Roman" w:hAnsi="Times New Roman" w:cs="Times New Roman"/>
          <w:sz w:val="24"/>
          <w:szCs w:val="24"/>
        </w:rPr>
        <w:t xml:space="preserve">not supported, </w:t>
      </w:r>
      <w:r w:rsidRPr="005E2AA4">
        <w:rPr>
          <w:rFonts w:ascii="Times New Roman" w:hAnsi="Times New Roman" w:cs="Times New Roman"/>
          <w:color w:val="4472C4" w:themeColor="accent1"/>
          <w:sz w:val="24"/>
          <w:szCs w:val="24"/>
        </w:rPr>
        <w:t xml:space="preserve">we </w:t>
      </w:r>
      <w:r w:rsidR="00FD5E57" w:rsidRPr="005E2AA4">
        <w:rPr>
          <w:rFonts w:ascii="Times New Roman" w:hAnsi="Times New Roman" w:cs="Times New Roman"/>
          <w:color w:val="4472C4" w:themeColor="accent1"/>
          <w:sz w:val="24"/>
          <w:szCs w:val="24"/>
        </w:rPr>
        <w:t>w</w:t>
      </w:r>
      <w:r w:rsidRPr="005E2AA4">
        <w:rPr>
          <w:rFonts w:ascii="Times New Roman" w:hAnsi="Times New Roman" w:cs="Times New Roman"/>
          <w:color w:val="4472C4" w:themeColor="accent1"/>
          <w:sz w:val="24"/>
          <w:szCs w:val="24"/>
        </w:rPr>
        <w:t xml:space="preserve">ould </w:t>
      </w:r>
      <w:r w:rsidR="0048504B" w:rsidRPr="005E2AA4">
        <w:rPr>
          <w:rFonts w:ascii="Times New Roman" w:hAnsi="Times New Roman" w:cs="Times New Roman"/>
          <w:color w:val="4472C4" w:themeColor="accent1"/>
          <w:sz w:val="24"/>
          <w:szCs w:val="24"/>
        </w:rPr>
        <w:t>conclude that</w:t>
      </w:r>
      <w:r w:rsidRPr="005E2AA4">
        <w:rPr>
          <w:rFonts w:ascii="Times New Roman" w:hAnsi="Times New Roman" w:cs="Times New Roman"/>
          <w:color w:val="4472C4" w:themeColor="accent1"/>
          <w:sz w:val="24"/>
          <w:szCs w:val="24"/>
        </w:rPr>
        <w:t xml:space="preserve"> </w:t>
      </w:r>
      <w:r w:rsidR="0048504B" w:rsidRPr="005E2AA4">
        <w:rPr>
          <w:rFonts w:ascii="Times New Roman" w:hAnsi="Times New Roman" w:cs="Times New Roman"/>
          <w:color w:val="4472C4" w:themeColor="accent1"/>
          <w:sz w:val="24"/>
          <w:szCs w:val="24"/>
        </w:rPr>
        <w:t xml:space="preserve">the influence of </w:t>
      </w:r>
      <w:r w:rsidRPr="005E2AA4">
        <w:rPr>
          <w:rFonts w:ascii="Times New Roman" w:hAnsi="Times New Roman" w:cs="Times New Roman"/>
          <w:color w:val="4472C4" w:themeColor="accent1"/>
          <w:sz w:val="24"/>
          <w:szCs w:val="24"/>
        </w:rPr>
        <w:t xml:space="preserve">carryover effects </w:t>
      </w:r>
      <w:r w:rsidR="0048504B" w:rsidRPr="005E2AA4">
        <w:rPr>
          <w:rFonts w:ascii="Times New Roman" w:hAnsi="Times New Roman" w:cs="Times New Roman"/>
          <w:color w:val="4472C4" w:themeColor="accent1"/>
          <w:sz w:val="24"/>
          <w:szCs w:val="24"/>
        </w:rPr>
        <w:t>on co</w:t>
      </w:r>
      <w:r w:rsidRPr="005E2AA4">
        <w:rPr>
          <w:rFonts w:ascii="Times New Roman" w:hAnsi="Times New Roman" w:cs="Times New Roman"/>
          <w:color w:val="4472C4" w:themeColor="accent1"/>
          <w:sz w:val="24"/>
          <w:szCs w:val="24"/>
        </w:rPr>
        <w:t xml:space="preserve">ngruency effects </w:t>
      </w:r>
      <w:r w:rsidR="00FD5E57" w:rsidRPr="005E2AA4">
        <w:rPr>
          <w:rFonts w:ascii="Times New Roman" w:hAnsi="Times New Roman" w:cs="Times New Roman"/>
          <w:color w:val="4472C4" w:themeColor="accent1"/>
          <w:sz w:val="24"/>
          <w:szCs w:val="24"/>
        </w:rPr>
        <w:t xml:space="preserve">is </w:t>
      </w:r>
      <w:r w:rsidR="0048504B" w:rsidRPr="005E2AA4">
        <w:rPr>
          <w:rFonts w:ascii="Times New Roman" w:hAnsi="Times New Roman" w:cs="Times New Roman"/>
          <w:color w:val="4472C4" w:themeColor="accent1"/>
          <w:sz w:val="24"/>
          <w:szCs w:val="24"/>
        </w:rPr>
        <w:t>negligible.</w:t>
      </w:r>
    </w:p>
    <w:p w14:paraId="0348FE19" w14:textId="77777777" w:rsidR="00A05BCF" w:rsidRDefault="008718CC" w:rsidP="0065645B">
      <w:pPr>
        <w:pStyle w:val="Heading"/>
      </w:pPr>
      <w:r>
        <w:t>Experiment 1</w:t>
      </w:r>
    </w:p>
    <w:p w14:paraId="2248A41B" w14:textId="77777777" w:rsidR="00A05BCF" w:rsidRDefault="008718CC" w:rsidP="0065645B">
      <w:pPr>
        <w:pStyle w:val="Heading3"/>
      </w:pPr>
      <w:r>
        <w:t>Methods</w:t>
      </w:r>
    </w:p>
    <w:p w14:paraId="57CC5AEE" w14:textId="75666F91"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i/>
          <w:iCs/>
          <w:sz w:val="24"/>
          <w:szCs w:val="24"/>
        </w:rPr>
        <w:t xml:space="preserve">Participants.  </w:t>
      </w:r>
      <w:r>
        <w:rPr>
          <w:rFonts w:ascii="Times New Roman" w:hAnsi="Times New Roman" w:cs="Times New Roman"/>
          <w:sz w:val="24"/>
          <w:szCs w:val="24"/>
        </w:rPr>
        <w:t>Participants with an overall accuracy below 90% percent (eight in total) were removed from all analyses, leaving a final sample size of 241 (</w:t>
      </w:r>
      <w:r>
        <w:rPr>
          <w:rFonts w:ascii="Times New Roman" w:hAnsi="Times New Roman" w:cs="Times New Roman"/>
          <w:i/>
          <w:sz w:val="24"/>
          <w:szCs w:val="24"/>
        </w:rPr>
        <w:t>M</w:t>
      </w:r>
      <w:r>
        <w:rPr>
          <w:rFonts w:ascii="Times New Roman" w:hAnsi="Times New Roman" w:cs="Times New Roman"/>
          <w:i/>
          <w:sz w:val="24"/>
          <w:szCs w:val="24"/>
          <w:vertAlign w:val="subscript"/>
        </w:rPr>
        <w:t>age</w:t>
      </w:r>
      <w:r>
        <w:rPr>
          <w:rFonts w:ascii="Times New Roman" w:hAnsi="Times New Roman" w:cs="Times New Roman"/>
          <w:sz w:val="24"/>
          <w:szCs w:val="24"/>
        </w:rPr>
        <w:t xml:space="preserve"> = 21.4, </w:t>
      </w:r>
      <w:r>
        <w:rPr>
          <w:rFonts w:ascii="Times New Roman" w:hAnsi="Times New Roman" w:cs="Times New Roman"/>
          <w:i/>
          <w:sz w:val="24"/>
          <w:szCs w:val="24"/>
        </w:rPr>
        <w:t>SD</w:t>
      </w:r>
      <w:r>
        <w:rPr>
          <w:rFonts w:ascii="Times New Roman" w:hAnsi="Times New Roman" w:cs="Times New Roman"/>
          <w:i/>
          <w:sz w:val="24"/>
          <w:szCs w:val="24"/>
          <w:vertAlign w:val="subscript"/>
        </w:rPr>
        <w:t>age</w:t>
      </w:r>
      <w:r>
        <w:rPr>
          <w:rFonts w:ascii="Times New Roman" w:hAnsi="Times New Roman" w:cs="Times New Roman"/>
          <w:sz w:val="24"/>
          <w:szCs w:val="24"/>
        </w:rPr>
        <w:t xml:space="preserve"> = 4.3; 178 females).  The data reported here were acquired during a screening session of a larger study on attention bias modification and brain structure, funded by the National Institute of Mental Health (NCT03092609). A portion of the current sample (</w:t>
      </w:r>
      <w:r w:rsidRPr="0065645B">
        <w:rPr>
          <w:rFonts w:ascii="Times New Roman" w:hAnsi="Times New Roman" w:cs="Times New Roman"/>
          <w:i/>
          <w:iCs/>
          <w:sz w:val="24"/>
          <w:szCs w:val="24"/>
        </w:rPr>
        <w:t>n</w:t>
      </w:r>
      <w:r>
        <w:rPr>
          <w:rFonts w:ascii="Times New Roman" w:hAnsi="Times New Roman" w:cs="Times New Roman"/>
          <w:sz w:val="24"/>
          <w:szCs w:val="24"/>
        </w:rPr>
        <w:t xml:space="preserve"> = 127) were included in Experiment 1 of </w:t>
      </w:r>
      <w:r>
        <w:fldChar w:fldCharType="begin"/>
      </w:r>
      <w:r>
        <w:rPr>
          <w:rFonts w:ascii="Times New Roman" w:hAnsi="Times New Roman" w:cs="Times New Roman"/>
          <w:sz w:val="24"/>
          <w:szCs w:val="24"/>
        </w:rPr>
        <w:instrText>ADDIN ZOTERO_ITEM CSL_CITATION {"citationID":"7jlSV7DH","properties":{"formattedCitation":"(Carlson &amp; Fang, 2020)","plainCitation":"(Carlson &amp; Fang, 2020)","dontUpdate":true,"noteIndex":0},"citationItems":[{"id":2523,"uris":["http://zotero.org/users/3283490/items/8P8HYVEV"],"uri":["http://zotero.org/users/3283490/items/8P8HYVEV"],"itemData":{"id":2523,"type":"article-journal","abstract":"A new method of calculating attentional bias from the dot-probe task measures fluctuations in bias towards and away from emotional stimuli over time using trial level bias score metrics. We assessed the stability and reliability of traditional attentional bias scores and trial level bias score measures of attentional bias across time in two five-block dot-probe task experiments in non-clinical samples. In experiments 1 and 2, both traditional attentional bias scores and trial level bias score measures of attentional bias did not habituate/decrease across time. In general, trial level bias score metrics (i.e., attention bias variability as well as the mean biases toward and away from threat) were more reliable than the traditional attention bias measure. This pattern was observed across both experiments. The traditional bias score, however, did improve in reliability in the later blocks of the fearful face dot-probe task. Although trial level bias score measures did not habituate and were more reliable across blocks, these measures did not correlate with state or trait anxiety. On the other hand, trial level bias score measures were strongly correlated with general reaction time variability—and after controlling for this effect no longer superior in reliability in comparison to the traditional attention bias measure. We conclude that general response variability should be removed from trial level bias score measures to ensure that they truly reflect attention bias variability.","container-title":"Motivation and Emotion","language":"en","page":"13","source":"Zotero","title":"The stability and reliability of attentional bias measures in the dot-probe task: Evidence from both traditional mean bias scores and trial-level bias scores","author":[{"family":"Carlson","given":"Joshua M"},{"family":"Fang","given":"Lin"}],"issued":{"date-parts":[["2020"]]}}}],"schema":"https://github.com/citation-style-language/schema/raw/master/csl-citation.json"}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Author (2020)</w:t>
      </w:r>
      <w:r>
        <w:rPr>
          <w:rFonts w:ascii="Times New Roman" w:hAnsi="Times New Roman" w:cs="Times New Roman"/>
          <w:sz w:val="24"/>
          <w:szCs w:val="24"/>
        </w:rPr>
        <w:fldChar w:fldCharType="end"/>
      </w:r>
      <w:r>
        <w:rPr>
          <w:rFonts w:ascii="Times New Roman" w:hAnsi="Times New Roman" w:cs="Times New Roman"/>
          <w:sz w:val="24"/>
          <w:szCs w:val="24"/>
        </w:rPr>
        <w:t xml:space="preserve">.  The study was approved by the </w:t>
      </w:r>
      <w:r w:rsidR="00597D95">
        <w:rPr>
          <w:rFonts w:ascii="Times New Roman" w:hAnsi="Times New Roman" w:cs="Times New Roman"/>
          <w:sz w:val="24"/>
          <w:szCs w:val="24"/>
        </w:rPr>
        <w:t>UNIVERSITY I</w:t>
      </w:r>
      <w:r>
        <w:rPr>
          <w:rFonts w:ascii="Times New Roman" w:hAnsi="Times New Roman" w:cs="Times New Roman"/>
          <w:sz w:val="24"/>
          <w:szCs w:val="24"/>
        </w:rPr>
        <w:t>nstitutional Review Board. Participants received monetary compensation for their participation.</w:t>
      </w:r>
    </w:p>
    <w:p w14:paraId="55C93301" w14:textId="08CCB378"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i/>
          <w:iCs/>
          <w:sz w:val="24"/>
          <w:szCs w:val="24"/>
        </w:rPr>
        <w:t xml:space="preserve">Stimuli and Apparatus. </w:t>
      </w:r>
      <w:r>
        <w:rPr>
          <w:rFonts w:ascii="Times New Roman" w:hAnsi="Times New Roman" w:cs="Times New Roman"/>
          <w:sz w:val="24"/>
          <w:szCs w:val="24"/>
        </w:rPr>
        <w:t xml:space="preserve">The procedure was administered with a PC and a 16” LCD computer monitor. Stimuli consisted of 20 fearful and neutral grayscale faces of 10 different </w:t>
      </w:r>
      <w:r>
        <w:rPr>
          <w:rFonts w:ascii="Times New Roman" w:hAnsi="Times New Roman" w:cs="Times New Roman"/>
          <w:sz w:val="24"/>
          <w:szCs w:val="24"/>
        </w:rPr>
        <w:lastRenderedPageBreak/>
        <w:t>actors (half female</w:t>
      </w:r>
      <w:r w:rsidR="00721DC5">
        <w:rPr>
          <w:rFonts w:ascii="Times New Roman" w:hAnsi="Times New Roman" w:cs="Times New Roman"/>
          <w:sz w:val="24"/>
          <w:szCs w:val="24"/>
        </w:rPr>
        <w:t>;</w:t>
      </w:r>
      <w:r>
        <w:rPr>
          <w:rFonts w:ascii="Times New Roman" w:hAnsi="Times New Roman" w:cs="Times New Roman"/>
          <w:sz w:val="24"/>
          <w:szCs w:val="24"/>
        </w:rPr>
        <w:t xml:space="preserve"> </w:t>
      </w:r>
      <w:r>
        <w:fldChar w:fldCharType="begin"/>
      </w:r>
      <w:r>
        <w:rPr>
          <w:rFonts w:ascii="Times New Roman" w:hAnsi="Times New Roman" w:cs="Times New Roman"/>
          <w:sz w:val="24"/>
          <w:szCs w:val="24"/>
        </w:rPr>
        <w:instrText>ADDIN ZOTERO_ITEM CSL_CITATION {"citationID":"sRpxQ3wH","properties":{"formattedCitation":"(Gur et al., 2002; Lundqvist et al., 1998)","plainCitation":"(Gur et al., 2002; Lundqvist et al., 1998)","noteIndex":0},"citationItems":[{"id":221,"uris":["http://zotero.org/users/3283490/items/UU7R8YX3"],"uri":["http://zotero.org/users/3283490/items/UU7R8YX3"],"itemData":{"id":221,"type":"article-journal","container-title":"Journal of Neuroscience Methods","DOI":"10.1016/S0165-0270(02)00006-7","ISSN":"01650270","issue":"2","journalAbbreviation":"Journal of Neuroscience Methods","language":"en","page":"137-143","source":"DOI.org (Crossref)","title":"A method for obtaining 3-dimensional facial expressions and its standardization for use in neurocognitive studies","volume":"115","author":[{"family":"Gur","given":"Ruben C."},{"family":"Sara","given":"Radim"},{"family":"Hagendoorn","given":"Michiel"},{"family":"Marom","given":"Oren"},{"family":"Hughett","given":"Paul"},{"family":"Macy","given":"Larry"},{"family":"Turner","given":"Travis"},{"family":"Bajcsy","given":"Ruzena"},{"family":"Posner","given":"Aaron"},{"family":"Gur","given":"Raquel E."}],"issued":{"date-parts":[["2002",4]]}}},{"id":98801,"uris":["http://zotero.org/users/3283490/items/VPB8IRLN"],"uri":["http://zotero.org/users/3283490/items/VPB8IRLN"],"itemData":{"id":98801,"type":"article","publisher":"Stockholm : Department of Neurosciences Karolinska Hospital.","title":"The Karolinska Directed Emotional Faces (KDEF)","author":[{"family":"Lundqvist","given":""},{"family":"Flykt","given":"A"},{"family":"Ohman","given":"A"}],"issued":{"date-parts":[["1998"]]}}}],"schema":"https://github.com/citation-style-language/schema/raw/master/csl-citation.json"}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Gur et al., 2002; Lundqvist et al., 1998)</w:t>
      </w:r>
      <w:r>
        <w:rPr>
          <w:rFonts w:ascii="Times New Roman" w:hAnsi="Times New Roman" w:cs="Times New Roman"/>
          <w:sz w:val="24"/>
          <w:szCs w:val="24"/>
        </w:rPr>
        <w:fldChar w:fldCharType="end"/>
      </w:r>
      <w:r>
        <w:fldChar w:fldCharType="begin"/>
      </w:r>
      <w:r>
        <w:rPr>
          <w:rFonts w:ascii="Times New Roman" w:hAnsi="Times New Roman" w:cs="Times New Roman"/>
          <w:sz w:val="24"/>
          <w:szCs w:val="24"/>
        </w:rPr>
        <w:instrText>ADDIN EN.CITE &lt;EndNote&gt;&lt;Cite&gt;&lt;Author&gt;Lundqvist&lt;/Author&gt;&lt;Year&gt;1998&lt;/Year&gt;&lt;RecNum&gt;1094&lt;/RecNum&gt;&lt;DisplayText&gt;(Lundqvist, Flykt, &amp;amp; Öhman, 1998)&lt;/DisplayText&gt;&lt;record&gt;&lt;rec-number&gt;1094&lt;/rec-number&gt;&lt;foreign-keys&gt;&lt;key app="EN" db-id="z2tw9eeada0tabede5wvrts0wp5dv09wxd2d" timestamp="1463766418"&gt;1094&lt;/key&gt;&lt;/foreign-keys&gt;&lt;ref-type name="Journal Article"&gt;17&lt;/ref-type&gt;&lt;contributors&gt;&lt;authors&gt;&lt;author&gt;Lundqvist, Daniel&lt;/author&gt;&lt;author&gt;Flykt, Anders&lt;/author&gt;&lt;author&gt;Öhman, A&lt;/author&gt;&lt;/authors&gt;&lt;/contributors&gt;&lt;titles&gt;&lt;title&gt;The Karolinska directed emotional faces (KDEF)&lt;/title&gt;&lt;secondary-title&gt;CD ROM from Department of Clinical Neuroscience, Psychology section, Karolinska Institutet&lt;/secondary-title&gt;&lt;/titles&gt;&lt;periodical&gt;&lt;full-title&gt;CD ROM from Department of Clinical Neuroscience, Psychology section, Karolinska Institutet&lt;/full-title&gt;&lt;/periodical&gt;&lt;pages&gt;91-630&lt;/pages&gt;&lt;dates&gt;&lt;year&gt;1998&lt;/year&gt;&lt;/dates&gt;&lt;urls&gt;&lt;/urls&gt;&lt;/record&gt;&lt;/Cite&gt;&lt;/EndNote&gt;</w:instrText>
      </w:r>
      <w:r>
        <w:rPr>
          <w:rFonts w:ascii="Times New Roman" w:hAnsi="Times New Roman" w:cs="Times New Roman"/>
          <w:sz w:val="24"/>
          <w:szCs w:val="24"/>
        </w:rPr>
        <w:fldChar w:fldCharType="end"/>
      </w:r>
      <w:r>
        <w:rPr>
          <w:rFonts w:ascii="Times New Roman" w:hAnsi="Times New Roman" w:cs="Times New Roman"/>
          <w:sz w:val="24"/>
          <w:szCs w:val="24"/>
        </w:rPr>
        <w:t xml:space="preserve">. Fearful faces were rated </w:t>
      </w:r>
      <w:r w:rsidR="003A44C5" w:rsidRPr="00695D4C">
        <w:rPr>
          <w:rFonts w:ascii="Times New Roman" w:hAnsi="Times New Roman" w:cs="Times New Roman"/>
          <w:color w:val="4472C4" w:themeColor="accent1"/>
          <w:sz w:val="24"/>
          <w:szCs w:val="24"/>
        </w:rPr>
        <w:t>(1-9</w:t>
      </w:r>
      <w:r w:rsidR="00695D4C" w:rsidRPr="00695D4C">
        <w:rPr>
          <w:rFonts w:ascii="Times New Roman" w:hAnsi="Times New Roman" w:cs="Times New Roman"/>
          <w:color w:val="4472C4" w:themeColor="accent1"/>
          <w:sz w:val="24"/>
          <w:szCs w:val="24"/>
        </w:rPr>
        <w:t>,</w:t>
      </w:r>
      <w:r w:rsidR="003A44C5" w:rsidRPr="00695D4C">
        <w:rPr>
          <w:rFonts w:ascii="Times New Roman" w:hAnsi="Times New Roman" w:cs="Times New Roman"/>
          <w:color w:val="4472C4" w:themeColor="accent1"/>
          <w:sz w:val="24"/>
          <w:szCs w:val="24"/>
        </w:rPr>
        <w:t xml:space="preserve"> unpleasant to pleasant) </w:t>
      </w:r>
      <w:r>
        <w:rPr>
          <w:rFonts w:ascii="Times New Roman" w:hAnsi="Times New Roman" w:cs="Times New Roman"/>
          <w:sz w:val="24"/>
          <w:szCs w:val="24"/>
        </w:rPr>
        <w:t>as more negative (</w:t>
      </w:r>
      <w:r>
        <w:rPr>
          <w:rFonts w:ascii="Times New Roman" w:hAnsi="Times New Roman" w:cs="Times New Roman"/>
          <w:i/>
          <w:sz w:val="24"/>
          <w:szCs w:val="24"/>
        </w:rPr>
        <w:t>M</w:t>
      </w:r>
      <w:r>
        <w:rPr>
          <w:rFonts w:ascii="Times New Roman" w:hAnsi="Times New Roman" w:cs="Times New Roman"/>
          <w:sz w:val="24"/>
          <w:szCs w:val="24"/>
        </w:rPr>
        <w:t xml:space="preserve"> = 3.83, </w:t>
      </w:r>
      <w:r>
        <w:rPr>
          <w:rFonts w:ascii="Times New Roman" w:hAnsi="Times New Roman" w:cs="Times New Roman"/>
          <w:i/>
          <w:sz w:val="24"/>
          <w:szCs w:val="24"/>
        </w:rPr>
        <w:t>SD</w:t>
      </w:r>
      <w:r>
        <w:rPr>
          <w:rFonts w:ascii="Times New Roman" w:hAnsi="Times New Roman" w:cs="Times New Roman"/>
          <w:sz w:val="24"/>
          <w:szCs w:val="24"/>
        </w:rPr>
        <w:t xml:space="preserve"> = 0.30) than neutral pictures (</w:t>
      </w:r>
      <w:r>
        <w:rPr>
          <w:rFonts w:ascii="Times New Roman" w:hAnsi="Times New Roman" w:cs="Times New Roman"/>
          <w:i/>
          <w:sz w:val="24"/>
          <w:szCs w:val="24"/>
        </w:rPr>
        <w:t>M</w:t>
      </w:r>
      <w:r>
        <w:rPr>
          <w:rFonts w:ascii="Times New Roman" w:hAnsi="Times New Roman" w:cs="Times New Roman"/>
          <w:sz w:val="24"/>
          <w:szCs w:val="24"/>
        </w:rPr>
        <w:t xml:space="preserve"> = 4.45, </w:t>
      </w:r>
      <w:r>
        <w:rPr>
          <w:rFonts w:ascii="Times New Roman" w:hAnsi="Times New Roman" w:cs="Times New Roman"/>
          <w:i/>
          <w:sz w:val="24"/>
          <w:szCs w:val="24"/>
        </w:rPr>
        <w:t>SD</w:t>
      </w:r>
      <w:r>
        <w:rPr>
          <w:rFonts w:ascii="Times New Roman" w:hAnsi="Times New Roman" w:cs="Times New Roman"/>
          <w:sz w:val="24"/>
          <w:szCs w:val="24"/>
        </w:rPr>
        <w:t xml:space="preserve"> = 0.52), </w:t>
      </w:r>
      <w:r>
        <w:rPr>
          <w:rFonts w:ascii="Times New Roman" w:hAnsi="Times New Roman" w:cs="Times New Roman"/>
          <w:i/>
          <w:sz w:val="24"/>
          <w:szCs w:val="24"/>
        </w:rPr>
        <w:t>t</w:t>
      </w:r>
      <w:r>
        <w:rPr>
          <w:rFonts w:ascii="Times New Roman" w:hAnsi="Times New Roman" w:cs="Times New Roman"/>
          <w:sz w:val="24"/>
          <w:szCs w:val="24"/>
        </w:rPr>
        <w:t xml:space="preserve">(18) = 3.23, </w:t>
      </w:r>
      <w:r>
        <w:rPr>
          <w:rFonts w:ascii="Times New Roman" w:hAnsi="Times New Roman" w:cs="Times New Roman"/>
          <w:i/>
          <w:sz w:val="24"/>
          <w:szCs w:val="24"/>
        </w:rPr>
        <w:t>p</w:t>
      </w:r>
      <w:r>
        <w:rPr>
          <w:rFonts w:ascii="Times New Roman" w:hAnsi="Times New Roman" w:cs="Times New Roman"/>
          <w:sz w:val="24"/>
          <w:szCs w:val="24"/>
        </w:rPr>
        <w:t xml:space="preserve"> = .005</w:t>
      </w:r>
      <w:r w:rsidR="001320C0">
        <w:rPr>
          <w:rFonts w:ascii="Times New Roman" w:hAnsi="Times New Roman" w:cs="Times New Roman"/>
          <w:sz w:val="24"/>
          <w:szCs w:val="24"/>
        </w:rPr>
        <w:t xml:space="preserve">, </w:t>
      </w:r>
      <w:r w:rsidR="00321D8D" w:rsidRPr="007815D9">
        <w:rPr>
          <w:rFonts w:ascii="Times New Roman" w:hAnsi="Times New Roman" w:cs="Times New Roman"/>
          <w:i/>
          <w:iCs/>
          <w:color w:val="4472C4" w:themeColor="accent1"/>
          <w:sz w:val="24"/>
          <w:szCs w:val="24"/>
        </w:rPr>
        <w:t>d</w:t>
      </w:r>
      <w:r w:rsidR="00321D8D" w:rsidRPr="007815D9">
        <w:rPr>
          <w:rFonts w:ascii="Times New Roman" w:hAnsi="Times New Roman" w:cs="Times New Roman"/>
          <w:color w:val="4472C4" w:themeColor="accent1"/>
          <w:sz w:val="24"/>
          <w:szCs w:val="24"/>
        </w:rPr>
        <w:t xml:space="preserve"> =</w:t>
      </w:r>
      <w:r w:rsidR="001320C0" w:rsidRPr="007815D9">
        <w:rPr>
          <w:rFonts w:ascii="Times New Roman" w:hAnsi="Times New Roman" w:cs="Times New Roman"/>
          <w:color w:val="4472C4" w:themeColor="accent1"/>
          <w:sz w:val="24"/>
          <w:szCs w:val="24"/>
        </w:rPr>
        <w:t xml:space="preserve"> 1.48</w:t>
      </w:r>
      <w:r>
        <w:rPr>
          <w:rFonts w:ascii="Times New Roman" w:hAnsi="Times New Roman" w:cs="Times New Roman"/>
          <w:sz w:val="24"/>
          <w:szCs w:val="24"/>
        </w:rPr>
        <w:t>.  Faces subtended a visual width and height of 5</w:t>
      </w:r>
      <w:r>
        <w:rPr>
          <w:rFonts w:ascii="Symbol" w:eastAsia="Symbol" w:hAnsi="Symbol" w:cs="Symbol"/>
          <w:sz w:val="24"/>
          <w:szCs w:val="24"/>
        </w:rPr>
        <w:t></w:t>
      </w:r>
      <w:r>
        <w:rPr>
          <w:rFonts w:ascii="Times New Roman" w:hAnsi="Times New Roman" w:cs="Times New Roman"/>
          <w:sz w:val="24"/>
          <w:szCs w:val="24"/>
        </w:rPr>
        <w:t xml:space="preserve"> × 7</w:t>
      </w:r>
      <w:r>
        <w:rPr>
          <w:rFonts w:ascii="Symbol" w:eastAsia="Symbol" w:hAnsi="Symbol" w:cs="Symbol"/>
          <w:sz w:val="24"/>
          <w:szCs w:val="24"/>
        </w:rPr>
        <w:t></w:t>
      </w:r>
      <w:r>
        <w:rPr>
          <w:rFonts w:ascii="Times New Roman" w:hAnsi="Times New Roman" w:cs="Times New Roman"/>
          <w:sz w:val="24"/>
          <w:szCs w:val="24"/>
        </w:rPr>
        <w:t xml:space="preserve"> and the distance between the center of each face subtended 14</w:t>
      </w:r>
      <w:r>
        <w:rPr>
          <w:rFonts w:ascii="Symbol" w:eastAsia="Symbol" w:hAnsi="Symbol" w:cs="Symbol"/>
          <w:sz w:val="24"/>
          <w:szCs w:val="24"/>
        </w:rPr>
        <w:t></w:t>
      </w:r>
      <w:r>
        <w:rPr>
          <w:rFonts w:ascii="Times New Roman" w:hAnsi="Times New Roman" w:cs="Times New Roman"/>
          <w:sz w:val="24"/>
          <w:szCs w:val="24"/>
        </w:rPr>
        <w:t>.</w:t>
      </w:r>
    </w:p>
    <w:p w14:paraId="22B67F56" w14:textId="77777777" w:rsidR="00A05BCF" w:rsidRDefault="008718CC">
      <w:pPr>
        <w:spacing w:after="0"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[Insert Figure 1 here]</w:t>
      </w:r>
    </w:p>
    <w:p w14:paraId="4E3FD524" w14:textId="300DB060"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i/>
          <w:iCs/>
          <w:sz w:val="24"/>
          <w:szCs w:val="24"/>
        </w:rPr>
        <w:t xml:space="preserve">Design.  </w:t>
      </w:r>
      <w:r>
        <w:rPr>
          <w:rFonts w:ascii="Times New Roman" w:hAnsi="Times New Roman" w:cs="Times New Roman"/>
          <w:sz w:val="24"/>
          <w:szCs w:val="24"/>
        </w:rPr>
        <w:t xml:space="preserve">The experiment consisted of five blocks of trials and each block consisted of 90 trials for a total of 450 trials.  30 congruent, 30 incongruent, and 30 baseline trials were randomly presented within each block.  </w:t>
      </w:r>
      <w:r w:rsidR="00721DC5">
        <w:rPr>
          <w:rFonts w:ascii="Times New Roman" w:hAnsi="Times New Roman" w:cs="Times New Roman"/>
          <w:sz w:val="24"/>
          <w:szCs w:val="24"/>
        </w:rPr>
        <w:t xml:space="preserve">During </w:t>
      </w:r>
      <w:r>
        <w:rPr>
          <w:rFonts w:ascii="Times New Roman" w:hAnsi="Times New Roman" w:cs="Times New Roman"/>
          <w:sz w:val="24"/>
          <w:szCs w:val="24"/>
        </w:rPr>
        <w:t>baseline trials, two neutral faces were shown in the cue display and the dot was randomly presented in the same position as one of the two neutral faces (one third of all trials). Baseline trials were not included in our analyses. See Figure 1A for examples of incongruent and congruent trials.</w:t>
      </w:r>
    </w:p>
    <w:p w14:paraId="01E0AA30" w14:textId="658A49DB"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i/>
          <w:iCs/>
          <w:sz w:val="24"/>
          <w:szCs w:val="24"/>
        </w:rPr>
        <w:t xml:space="preserve">Procedure. </w:t>
      </w:r>
      <w:r>
        <w:rPr>
          <w:rFonts w:ascii="Times New Roman" w:hAnsi="Times New Roman" w:cs="Times New Roman"/>
          <w:sz w:val="24"/>
          <w:szCs w:val="24"/>
        </w:rPr>
        <w:t xml:space="preserve">Each trial started with a white fixation </w:t>
      </w:r>
      <w:r w:rsidR="00E82145">
        <w:rPr>
          <w:rFonts w:ascii="Times New Roman" w:hAnsi="Times New Roman" w:cs="Times New Roman"/>
          <w:sz w:val="24"/>
          <w:szCs w:val="24"/>
        </w:rPr>
        <w:t>cross</w:t>
      </w:r>
      <w:r>
        <w:rPr>
          <w:rFonts w:ascii="Times New Roman" w:hAnsi="Times New Roman" w:cs="Times New Roman"/>
          <w:sz w:val="24"/>
          <w:szCs w:val="24"/>
        </w:rPr>
        <w:t xml:space="preserve"> (+) in the center of a black screen for 1000 ms, which was immediately followed by the cue display.  The cue display was presented for 100 ms. In the cue display, there were two bilaterally presented faces.  Immediately following the cue display, a single dot (the target object) was randomly presented in the central position of one of the previously shown faces in the cue display until participants responded. Participants indicated the location of the dot (left or right side of the display) by pressing a corresponding button with the pointer or middle finger of their right hand.</w:t>
      </w:r>
    </w:p>
    <w:p w14:paraId="22ED9A54" w14:textId="77777777" w:rsidR="00A05BCF" w:rsidRDefault="008718CC" w:rsidP="0065645B">
      <w:pPr>
        <w:pStyle w:val="Heading"/>
      </w:pPr>
      <w:r>
        <w:t>Results</w:t>
      </w:r>
    </w:p>
    <w:p w14:paraId="10464669" w14:textId="5F3DAC39" w:rsidR="00A05BCF" w:rsidRDefault="008718C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b/>
        <w:t>All trials with an incorrect respons</w:t>
      </w:r>
      <w:r w:rsidR="005D521E">
        <w:rPr>
          <w:rFonts w:ascii="Times New Roman" w:hAnsi="Times New Roman" w:cs="Times New Roman"/>
          <w:sz w:val="24"/>
          <w:szCs w:val="24"/>
        </w:rPr>
        <w:t>e (2.2% of trials)</w:t>
      </w:r>
      <w:r>
        <w:rPr>
          <w:rFonts w:ascii="Times New Roman" w:hAnsi="Times New Roman" w:cs="Times New Roman"/>
          <w:sz w:val="24"/>
          <w:szCs w:val="24"/>
        </w:rPr>
        <w:t xml:space="preserve"> or a response time outside of 3 standard deviations from </w:t>
      </w:r>
      <w:r w:rsidRPr="00E8566F">
        <w:rPr>
          <w:rFonts w:ascii="Times New Roman" w:hAnsi="Times New Roman" w:cs="Times New Roman"/>
          <w:color w:val="4472C4" w:themeColor="accent1"/>
          <w:sz w:val="24"/>
          <w:szCs w:val="24"/>
        </w:rPr>
        <w:t>the</w:t>
      </w:r>
      <w:r w:rsidR="00E8566F" w:rsidRPr="00E8566F">
        <w:rPr>
          <w:rFonts w:ascii="Times New Roman" w:hAnsi="Times New Roman" w:cs="Times New Roman"/>
          <w:color w:val="4472C4" w:themeColor="accent1"/>
          <w:sz w:val="24"/>
          <w:szCs w:val="24"/>
        </w:rPr>
        <w:t xml:space="preserve"> individual</w:t>
      </w:r>
      <w:r w:rsidR="00E8566F">
        <w:rPr>
          <w:rFonts w:ascii="Times New Roman" w:hAnsi="Times New Roman" w:cs="Times New Roman"/>
          <w:color w:val="4472C4" w:themeColor="accent1"/>
          <w:sz w:val="24"/>
          <w:szCs w:val="24"/>
        </w:rPr>
        <w:t>-wise</w:t>
      </w:r>
      <w:r w:rsidR="00E8566F" w:rsidRPr="00E8566F">
        <w:rPr>
          <w:rFonts w:ascii="Times New Roman" w:hAnsi="Times New Roman" w:cs="Times New Roman"/>
          <w:color w:val="4472C4" w:themeColor="accent1"/>
          <w:sz w:val="24"/>
          <w:szCs w:val="24"/>
        </w:rPr>
        <w:t xml:space="preserve"> </w:t>
      </w:r>
      <w:r w:rsidR="00E8566F">
        <w:rPr>
          <w:rFonts w:ascii="Times New Roman" w:hAnsi="Times New Roman" w:cs="Times New Roman"/>
          <w:color w:val="4472C4" w:themeColor="accent1"/>
          <w:sz w:val="24"/>
          <w:szCs w:val="24"/>
        </w:rPr>
        <w:t xml:space="preserve">and condition </w:t>
      </w:r>
      <w:r w:rsidR="00E8566F" w:rsidRPr="00E8566F">
        <w:rPr>
          <w:rFonts w:ascii="Times New Roman" w:hAnsi="Times New Roman" w:cs="Times New Roman"/>
          <w:color w:val="4472C4" w:themeColor="accent1"/>
          <w:sz w:val="24"/>
          <w:szCs w:val="24"/>
        </w:rPr>
        <w:t>mean</w:t>
      </w:r>
      <w:r w:rsidR="00E8566F">
        <w:rPr>
          <w:rFonts w:ascii="Times New Roman" w:hAnsi="Times New Roman" w:cs="Times New Roman"/>
          <w:color w:val="4472C4" w:themeColor="accent1"/>
          <w:sz w:val="24"/>
          <w:szCs w:val="24"/>
        </w:rPr>
        <w:t>s</w:t>
      </w:r>
      <w:r w:rsidR="00E8566F" w:rsidRPr="00E8566F">
        <w:rPr>
          <w:rFonts w:ascii="Times New Roman" w:hAnsi="Times New Roman" w:cs="Times New Roman"/>
          <w:color w:val="4472C4" w:themeColor="accent1"/>
          <w:sz w:val="24"/>
          <w:szCs w:val="24"/>
        </w:rPr>
        <w:t xml:space="preserve"> </w:t>
      </w:r>
      <w:r>
        <w:rPr>
          <w:rFonts w:ascii="Times New Roman" w:hAnsi="Times New Roman" w:cs="Times New Roman"/>
          <w:sz w:val="24"/>
          <w:szCs w:val="24"/>
        </w:rPr>
        <w:t xml:space="preserve">were removed from all RT analyses (0.6% of trials).  Attentional bias was measured by subtracting </w:t>
      </w:r>
      <w:r w:rsidR="002409E6" w:rsidRPr="006955F7">
        <w:rPr>
          <w:rFonts w:ascii="Times New Roman" w:hAnsi="Times New Roman" w:cs="Times New Roman"/>
          <w:color w:val="4472C4" w:themeColor="accent1"/>
          <w:sz w:val="24"/>
          <w:szCs w:val="24"/>
        </w:rPr>
        <w:t>mean</w:t>
      </w:r>
      <w:r w:rsidR="002409E6">
        <w:rPr>
          <w:rFonts w:ascii="Times New Roman" w:hAnsi="Times New Roman" w:cs="Times New Roman"/>
          <w:sz w:val="24"/>
          <w:szCs w:val="24"/>
        </w:rPr>
        <w:t xml:space="preserve"> </w:t>
      </w:r>
      <w:r>
        <w:rPr>
          <w:rFonts w:ascii="Times New Roman" w:hAnsi="Times New Roman" w:cs="Times New Roman"/>
          <w:sz w:val="24"/>
          <w:szCs w:val="24"/>
        </w:rPr>
        <w:t>RTs for congruent trials from incongruent trials. Positive values indicate the level of attentional bias for fearful faces.</w:t>
      </w:r>
      <w:r w:rsidR="00DC494E">
        <w:rPr>
          <w:rFonts w:ascii="Times New Roman" w:hAnsi="Times New Roman" w:cs="Times New Roman"/>
          <w:sz w:val="24"/>
          <w:szCs w:val="24"/>
        </w:rPr>
        <w:t xml:space="preserve">  </w:t>
      </w:r>
      <w:r w:rsidR="00DC494E" w:rsidRPr="00DC494E">
        <w:rPr>
          <w:rFonts w:ascii="Times New Roman" w:hAnsi="Times New Roman" w:cs="Times New Roman"/>
          <w:color w:val="4472C4" w:themeColor="accent1"/>
          <w:sz w:val="24"/>
          <w:szCs w:val="24"/>
        </w:rPr>
        <w:t>All analyses were not pre-</w:t>
      </w:r>
      <w:r w:rsidR="0084700D" w:rsidRPr="00DC494E">
        <w:rPr>
          <w:rFonts w:ascii="Times New Roman" w:hAnsi="Times New Roman" w:cs="Times New Roman"/>
          <w:color w:val="4472C4" w:themeColor="accent1"/>
          <w:sz w:val="24"/>
          <w:szCs w:val="24"/>
        </w:rPr>
        <w:t>registered but</w:t>
      </w:r>
      <w:r w:rsidR="00DC494E" w:rsidRPr="00DC494E">
        <w:rPr>
          <w:rFonts w:ascii="Times New Roman" w:hAnsi="Times New Roman" w:cs="Times New Roman"/>
          <w:color w:val="4472C4" w:themeColor="accent1"/>
          <w:sz w:val="24"/>
          <w:szCs w:val="24"/>
        </w:rPr>
        <w:t xml:space="preserve"> were pre-planned</w:t>
      </w:r>
      <w:r w:rsidR="00DC494E">
        <w:rPr>
          <w:rFonts w:ascii="Times New Roman" w:hAnsi="Times New Roman" w:cs="Times New Roman"/>
          <w:sz w:val="24"/>
          <w:szCs w:val="24"/>
        </w:rPr>
        <w:t xml:space="preserve">. </w:t>
      </w:r>
      <w:r>
        <w:rPr>
          <w:rFonts w:ascii="Times New Roman" w:hAnsi="Times New Roman" w:cs="Times New Roman"/>
          <w:sz w:val="24"/>
          <w:szCs w:val="24"/>
        </w:rPr>
        <w:t xml:space="preserve"> As shown in Figure 2A, RTs for congruent trials (</w:t>
      </w:r>
      <w:r w:rsidR="000C1AE0">
        <w:rPr>
          <w:rFonts w:ascii="Times New Roman" w:hAnsi="Times New Roman" w:cs="Times New Roman"/>
          <w:i/>
          <w:iCs/>
          <w:sz w:val="24"/>
          <w:szCs w:val="24"/>
        </w:rPr>
        <w:t xml:space="preserve">M = </w:t>
      </w:r>
      <w:r>
        <w:rPr>
          <w:rFonts w:ascii="Times New Roman" w:hAnsi="Times New Roman" w:cs="Times New Roman"/>
          <w:sz w:val="24"/>
          <w:szCs w:val="24"/>
        </w:rPr>
        <w:t xml:space="preserve">331 ms, </w:t>
      </w:r>
      <w:r w:rsidR="006E011F" w:rsidRPr="006E011F">
        <w:rPr>
          <w:rFonts w:ascii="Times New Roman" w:hAnsi="Times New Roman" w:cs="Times New Roman"/>
          <w:i/>
          <w:iCs/>
          <w:sz w:val="24"/>
          <w:szCs w:val="24"/>
        </w:rPr>
        <w:t>SD</w:t>
      </w:r>
      <w:r>
        <w:rPr>
          <w:rFonts w:ascii="Times New Roman" w:hAnsi="Times New Roman" w:cs="Times New Roman"/>
          <w:sz w:val="24"/>
          <w:szCs w:val="24"/>
        </w:rPr>
        <w:t xml:space="preserve"> of 72 ms) were significantly shorter for incongruent trials (</w:t>
      </w:r>
      <w:r w:rsidR="000C1AE0">
        <w:rPr>
          <w:rFonts w:ascii="Times New Roman" w:hAnsi="Times New Roman" w:cs="Times New Roman"/>
          <w:i/>
          <w:iCs/>
          <w:sz w:val="24"/>
          <w:szCs w:val="24"/>
        </w:rPr>
        <w:t xml:space="preserve">M = </w:t>
      </w:r>
      <w:r>
        <w:rPr>
          <w:rFonts w:ascii="Times New Roman" w:hAnsi="Times New Roman" w:cs="Times New Roman"/>
          <w:sz w:val="24"/>
          <w:szCs w:val="24"/>
        </w:rPr>
        <w:t xml:space="preserve">342 ms, </w:t>
      </w:r>
      <w:r w:rsidR="006E011F" w:rsidRPr="006E011F">
        <w:rPr>
          <w:rFonts w:ascii="Times New Roman" w:hAnsi="Times New Roman" w:cs="Times New Roman"/>
          <w:i/>
          <w:iCs/>
          <w:sz w:val="24"/>
          <w:szCs w:val="24"/>
        </w:rPr>
        <w:t>SD</w:t>
      </w:r>
      <w:r>
        <w:rPr>
          <w:rFonts w:ascii="Times New Roman" w:hAnsi="Times New Roman" w:cs="Times New Roman"/>
          <w:sz w:val="24"/>
          <w:szCs w:val="24"/>
        </w:rPr>
        <w:t xml:space="preserve"> of 72 ms), </w:t>
      </w:r>
      <w:r>
        <w:rPr>
          <w:rFonts w:ascii="Times New Roman" w:hAnsi="Times New Roman" w:cs="Times New Roman"/>
          <w:i/>
          <w:iCs/>
          <w:sz w:val="24"/>
          <w:szCs w:val="24"/>
        </w:rPr>
        <w:t>t</w:t>
      </w:r>
      <w:r>
        <w:rPr>
          <w:rFonts w:ascii="Times New Roman" w:hAnsi="Times New Roman" w:cs="Times New Roman"/>
          <w:sz w:val="24"/>
          <w:szCs w:val="24"/>
        </w:rPr>
        <w:t xml:space="preserve">(240) = 20.56, </w:t>
      </w:r>
      <w:r>
        <w:rPr>
          <w:rFonts w:ascii="Times New Roman" w:hAnsi="Times New Roman" w:cs="Times New Roman"/>
          <w:i/>
          <w:iCs/>
          <w:sz w:val="24"/>
          <w:szCs w:val="24"/>
        </w:rPr>
        <w:t>p</w:t>
      </w:r>
      <w:r>
        <w:rPr>
          <w:rFonts w:ascii="Times New Roman" w:hAnsi="Times New Roman" w:cs="Times New Roman"/>
          <w:sz w:val="24"/>
          <w:szCs w:val="24"/>
        </w:rPr>
        <w:t xml:space="preserve"> &lt; .001, </w:t>
      </w:r>
      <w:r>
        <w:rPr>
          <w:rFonts w:ascii="Times New Roman" w:hAnsi="Times New Roman" w:cs="Times New Roman"/>
          <w:i/>
          <w:iCs/>
          <w:sz w:val="24"/>
          <w:szCs w:val="24"/>
        </w:rPr>
        <w:t xml:space="preserve">d </w:t>
      </w:r>
      <w:r>
        <w:rPr>
          <w:rFonts w:ascii="Times New Roman" w:hAnsi="Times New Roman" w:cs="Times New Roman"/>
          <w:sz w:val="24"/>
          <w:szCs w:val="24"/>
        </w:rPr>
        <w:t xml:space="preserve">= 0.16.  A congruency effect was also found for percent correct (1.5%), </w:t>
      </w:r>
      <w:r>
        <w:rPr>
          <w:rFonts w:ascii="Times New Roman" w:hAnsi="Times New Roman" w:cs="Times New Roman"/>
          <w:i/>
          <w:iCs/>
          <w:sz w:val="24"/>
          <w:szCs w:val="24"/>
        </w:rPr>
        <w:t>t</w:t>
      </w:r>
      <w:r>
        <w:rPr>
          <w:rFonts w:ascii="Times New Roman" w:hAnsi="Times New Roman" w:cs="Times New Roman"/>
          <w:sz w:val="24"/>
          <w:szCs w:val="24"/>
        </w:rPr>
        <w:t xml:space="preserve">(240) = 14.31, </w:t>
      </w:r>
      <w:r>
        <w:rPr>
          <w:rFonts w:ascii="Times New Roman" w:hAnsi="Times New Roman" w:cs="Times New Roman"/>
          <w:i/>
          <w:iCs/>
          <w:sz w:val="24"/>
          <w:szCs w:val="24"/>
        </w:rPr>
        <w:t>p</w:t>
      </w:r>
      <w:r>
        <w:rPr>
          <w:rFonts w:ascii="Times New Roman" w:hAnsi="Times New Roman" w:cs="Times New Roman"/>
          <w:sz w:val="24"/>
          <w:szCs w:val="24"/>
        </w:rPr>
        <w:t xml:space="preserve"> &lt; .001, </w:t>
      </w:r>
      <w:r>
        <w:rPr>
          <w:rFonts w:ascii="Times New Roman" w:hAnsi="Times New Roman" w:cs="Times New Roman"/>
          <w:i/>
          <w:iCs/>
          <w:sz w:val="24"/>
          <w:szCs w:val="24"/>
        </w:rPr>
        <w:t xml:space="preserve">d </w:t>
      </w:r>
      <w:r>
        <w:rPr>
          <w:rFonts w:ascii="Times New Roman" w:hAnsi="Times New Roman" w:cs="Times New Roman"/>
          <w:sz w:val="24"/>
          <w:szCs w:val="24"/>
        </w:rPr>
        <w:t>= 0.11.</w:t>
      </w:r>
    </w:p>
    <w:p w14:paraId="7307F5F8" w14:textId="7A438D4F"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As shown in Figure 2B, carryover effects are measured as the interaction between previous trial congruency (pre-congruent or pre-incongruent) and current trial congruency (congruent or incongruent).  The location of the fearful face and the target could repeat from trial</w:t>
      </w:r>
      <w:r w:rsidR="000478B9">
        <w:rPr>
          <w:rFonts w:ascii="Times New Roman" w:hAnsi="Times New Roman" w:cs="Times New Roman"/>
          <w:sz w:val="24"/>
          <w:szCs w:val="24"/>
        </w:rPr>
        <w:t xml:space="preserve"> to </w:t>
      </w:r>
      <w:r>
        <w:rPr>
          <w:rFonts w:ascii="Times New Roman" w:hAnsi="Times New Roman" w:cs="Times New Roman"/>
          <w:sz w:val="24"/>
          <w:szCs w:val="24"/>
        </w:rPr>
        <w:t>trial, so we further separated carryover effects by target location repetition</w:t>
      </w:r>
      <w:r w:rsidR="00CE6E12">
        <w:rPr>
          <w:rFonts w:ascii="Times New Roman" w:hAnsi="Times New Roman" w:cs="Times New Roman"/>
          <w:sz w:val="24"/>
          <w:szCs w:val="24"/>
        </w:rPr>
        <w:t xml:space="preserve">.  </w:t>
      </w:r>
      <w:r w:rsidR="00CE6E12" w:rsidRPr="00CE6E12">
        <w:rPr>
          <w:rFonts w:ascii="Times New Roman" w:hAnsi="Times New Roman" w:cs="Times New Roman"/>
          <w:color w:val="4472C4" w:themeColor="accent1"/>
          <w:sz w:val="24"/>
          <w:szCs w:val="24"/>
        </w:rPr>
        <w:t>We examine</w:t>
      </w:r>
      <w:r w:rsidR="00CE6E12">
        <w:rPr>
          <w:rFonts w:ascii="Times New Roman" w:hAnsi="Times New Roman" w:cs="Times New Roman"/>
          <w:color w:val="4472C4" w:themeColor="accent1"/>
          <w:sz w:val="24"/>
          <w:szCs w:val="24"/>
        </w:rPr>
        <w:t xml:space="preserve">d target location repetition </w:t>
      </w:r>
      <w:r w:rsidR="00CE6E12" w:rsidRPr="00CE6E12">
        <w:rPr>
          <w:rFonts w:ascii="Times New Roman" w:hAnsi="Times New Roman" w:cs="Times New Roman"/>
          <w:color w:val="4472C4" w:themeColor="accent1"/>
          <w:sz w:val="24"/>
          <w:szCs w:val="24"/>
        </w:rPr>
        <w:t xml:space="preserve">for two reasons: (a) it is an exploratory approach to analyzing carryover effects and (b) previous studies on carryover effects </w:t>
      </w:r>
      <w:r w:rsidR="00CE6E12" w:rsidRPr="00CE6E12">
        <w:rPr>
          <w:rFonts w:ascii="Times New Roman" w:hAnsi="Times New Roman" w:cs="Times New Roman"/>
          <w:color w:val="4472C4" w:themeColor="accent1"/>
          <w:sz w:val="24"/>
          <w:szCs w:val="24"/>
        </w:rPr>
        <w:fldChar w:fldCharType="begin"/>
      </w:r>
      <w:r w:rsidR="00CE6E12" w:rsidRPr="00CE6E12">
        <w:rPr>
          <w:rFonts w:ascii="Times New Roman" w:hAnsi="Times New Roman" w:cs="Times New Roman"/>
          <w:color w:val="4472C4" w:themeColor="accent1"/>
          <w:sz w:val="24"/>
          <w:szCs w:val="24"/>
        </w:rPr>
        <w:instrText xml:space="preserve"> ADDIN ZOTERO_ITEM CSL_CITATION {"citationID":"wGnnFyIG","properties":{"formattedCitation":"(Gladwin &amp; Figner, 2019)","plainCitation":"(Gladwin &amp; Figner, 2019)","noteIndex":0},"citationItems":[{"id":2473,"uris":["http://zotero.org/users/3283490/items/NQGTHVTJ"],"uri":["http://zotero.org/users/3283490/items/NQGTHVTJ"],"itemData":{"id":2473,"type":"article-journal","abstract":"Visual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 </w:instrText>
      </w:r>
      <w:r w:rsidR="00CE6E12" w:rsidRPr="00CE6E12">
        <w:rPr>
          <w:rFonts w:ascii="Times New Roman" w:hAnsi="Times New Roman" w:cs="Times New Roman"/>
          <w:color w:val="4472C4" w:themeColor="accent1"/>
          <w:sz w:val="24"/>
          <w:szCs w:val="24"/>
        </w:rPr>
        <w:fldChar w:fldCharType="separate"/>
      </w:r>
      <w:r w:rsidR="00CE6E12" w:rsidRPr="00CE6E12">
        <w:rPr>
          <w:rFonts w:ascii="Times New Roman" w:hAnsi="Times New Roman" w:cs="Times New Roman"/>
          <w:color w:val="4472C4" w:themeColor="accent1"/>
          <w:sz w:val="24"/>
        </w:rPr>
        <w:t>(Gladwin &amp; Figner, 2019)</w:t>
      </w:r>
      <w:r w:rsidR="00CE6E12" w:rsidRPr="00CE6E12">
        <w:rPr>
          <w:rFonts w:ascii="Times New Roman" w:hAnsi="Times New Roman" w:cs="Times New Roman"/>
          <w:color w:val="4472C4" w:themeColor="accent1"/>
          <w:sz w:val="24"/>
          <w:szCs w:val="24"/>
        </w:rPr>
        <w:fldChar w:fldCharType="end"/>
      </w:r>
      <w:r w:rsidR="00CE6E12" w:rsidRPr="00CE6E12">
        <w:rPr>
          <w:rFonts w:ascii="Times New Roman" w:hAnsi="Times New Roman" w:cs="Times New Roman"/>
          <w:color w:val="4472C4" w:themeColor="accent1"/>
          <w:sz w:val="24"/>
          <w:szCs w:val="24"/>
        </w:rPr>
        <w:t xml:space="preserve"> have deliberately </w:t>
      </w:r>
      <w:r w:rsidR="00827FBA">
        <w:rPr>
          <w:rFonts w:ascii="Times New Roman" w:hAnsi="Times New Roman" w:cs="Times New Roman"/>
          <w:color w:val="4472C4" w:themeColor="accent1"/>
          <w:sz w:val="24"/>
          <w:szCs w:val="24"/>
        </w:rPr>
        <w:t>prevented</w:t>
      </w:r>
      <w:r w:rsidR="00827FBA" w:rsidRPr="00CE6E12">
        <w:rPr>
          <w:rFonts w:ascii="Times New Roman" w:hAnsi="Times New Roman" w:cs="Times New Roman"/>
          <w:color w:val="4472C4" w:themeColor="accent1"/>
          <w:sz w:val="24"/>
          <w:szCs w:val="24"/>
        </w:rPr>
        <w:t xml:space="preserve"> </w:t>
      </w:r>
      <w:r w:rsidR="00CE6E12" w:rsidRPr="00CE6E12">
        <w:rPr>
          <w:rFonts w:ascii="Times New Roman" w:hAnsi="Times New Roman" w:cs="Times New Roman"/>
          <w:color w:val="4472C4" w:themeColor="accent1"/>
          <w:sz w:val="24"/>
          <w:szCs w:val="24"/>
        </w:rPr>
        <w:t xml:space="preserve">cue and target locations </w:t>
      </w:r>
      <w:r w:rsidR="00827FBA">
        <w:rPr>
          <w:rFonts w:ascii="Times New Roman" w:hAnsi="Times New Roman" w:cs="Times New Roman"/>
          <w:color w:val="4472C4" w:themeColor="accent1"/>
          <w:sz w:val="24"/>
          <w:szCs w:val="24"/>
        </w:rPr>
        <w:t>repetitions</w:t>
      </w:r>
      <w:r w:rsidR="00CE6E12" w:rsidRPr="00CE6E12">
        <w:rPr>
          <w:rFonts w:ascii="Times New Roman" w:hAnsi="Times New Roman" w:cs="Times New Roman"/>
          <w:color w:val="4472C4" w:themeColor="accent1"/>
          <w:sz w:val="24"/>
          <w:szCs w:val="24"/>
        </w:rPr>
        <w:t xml:space="preserve"> trial-to-trial. </w:t>
      </w:r>
      <w:r>
        <w:rPr>
          <w:rFonts w:ascii="Times New Roman" w:hAnsi="Times New Roman" w:cs="Times New Roman"/>
          <w:sz w:val="24"/>
          <w:szCs w:val="24"/>
        </w:rPr>
        <w:t xml:space="preserve">We tested for the presence of carryover effects by conducting a 2 × 2 × 2 Generalized Linear Mixed Model (GLMM) </w:t>
      </w:r>
      <w:r w:rsidRPr="003E2EDA">
        <w:rPr>
          <w:rFonts w:ascii="Times New Roman" w:hAnsi="Times New Roman" w:cs="Times New Roman"/>
          <w:color w:val="4472C4" w:themeColor="accent1"/>
          <w:sz w:val="24"/>
          <w:szCs w:val="24"/>
        </w:rPr>
        <w:t xml:space="preserve">with </w:t>
      </w:r>
      <w:r w:rsidR="003E2EDA" w:rsidRPr="003E2EDA">
        <w:rPr>
          <w:rFonts w:ascii="Times New Roman" w:hAnsi="Times New Roman" w:cs="Times New Roman"/>
          <w:color w:val="4472C4" w:themeColor="accent1"/>
          <w:sz w:val="24"/>
          <w:szCs w:val="24"/>
        </w:rPr>
        <w:t>the random effect of subject</w:t>
      </w:r>
      <w:r w:rsidR="003E2EDA">
        <w:rPr>
          <w:rFonts w:ascii="Times New Roman" w:hAnsi="Times New Roman" w:cs="Times New Roman"/>
          <w:sz w:val="24"/>
          <w:szCs w:val="24"/>
        </w:rPr>
        <w:t xml:space="preserve"> and </w:t>
      </w:r>
      <w:r>
        <w:rPr>
          <w:rFonts w:ascii="Times New Roman" w:hAnsi="Times New Roman" w:cs="Times New Roman"/>
          <w:sz w:val="24"/>
          <w:szCs w:val="24"/>
        </w:rPr>
        <w:t xml:space="preserve">the fixed effects of current trial congruency (congruent or incongruent), previous trial congruency (pre-congruent or pre-incongruent) and target location repetition (repeated or non-repeated) on </w:t>
      </w:r>
      <w:r w:rsidR="00E878C8" w:rsidRPr="00E878C8">
        <w:rPr>
          <w:rFonts w:ascii="Times New Roman" w:hAnsi="Times New Roman" w:cs="Times New Roman"/>
          <w:color w:val="4472C4" w:themeColor="accent1"/>
          <w:sz w:val="24"/>
          <w:szCs w:val="24"/>
        </w:rPr>
        <w:t>single trial</w:t>
      </w:r>
      <w:r w:rsidR="00E878C8">
        <w:rPr>
          <w:rFonts w:ascii="Times New Roman" w:hAnsi="Times New Roman" w:cs="Times New Roman"/>
          <w:sz w:val="24"/>
          <w:szCs w:val="24"/>
        </w:rPr>
        <w:t xml:space="preserve"> </w:t>
      </w:r>
      <w:r>
        <w:rPr>
          <w:rFonts w:ascii="Times New Roman" w:hAnsi="Times New Roman" w:cs="Times New Roman"/>
          <w:sz w:val="24"/>
          <w:szCs w:val="24"/>
        </w:rPr>
        <w:t>RTs using a Gamma probability distribution with a log link, which accounts for the slightly positive skew of the data</w:t>
      </w:r>
      <w:r w:rsidR="00C975F0">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Target location </w:t>
      </w:r>
      <w:r>
        <w:rPr>
          <w:rFonts w:ascii="Times New Roman" w:hAnsi="Times New Roman" w:cs="Times New Roman"/>
          <w:sz w:val="24"/>
          <w:szCs w:val="24"/>
        </w:rPr>
        <w:lastRenderedPageBreak/>
        <w:t xml:space="preserve">repetition was included in the model because previous studies of carryover effects deliberately chose to </w:t>
      </w:r>
      <w:r w:rsidR="00003026">
        <w:rPr>
          <w:rFonts w:ascii="Times New Roman" w:hAnsi="Times New Roman" w:cs="Times New Roman"/>
          <w:sz w:val="24"/>
          <w:szCs w:val="24"/>
        </w:rPr>
        <w:t>prevent</w:t>
      </w:r>
      <w:r>
        <w:rPr>
          <w:rFonts w:ascii="Times New Roman" w:hAnsi="Times New Roman" w:cs="Times New Roman"/>
          <w:sz w:val="24"/>
          <w:szCs w:val="24"/>
        </w:rPr>
        <w:t xml:space="preserve"> target locations </w:t>
      </w:r>
      <w:r w:rsidR="00003026">
        <w:rPr>
          <w:rFonts w:ascii="Times New Roman" w:hAnsi="Times New Roman" w:cs="Times New Roman"/>
          <w:sz w:val="24"/>
          <w:szCs w:val="24"/>
        </w:rPr>
        <w:t>repetition</w:t>
      </w:r>
      <w:r>
        <w:rPr>
          <w:rFonts w:ascii="Times New Roman" w:hAnsi="Times New Roman" w:cs="Times New Roman"/>
          <w:sz w:val="24"/>
          <w:szCs w:val="24"/>
        </w:rPr>
        <w:t xml:space="preserve"> between trials</w:t>
      </w:r>
      <w:r w:rsidR="00003026">
        <w:rPr>
          <w:rFonts w:ascii="Times New Roman" w:hAnsi="Times New Roman" w:cs="Times New Roman"/>
          <w:sz w:val="24"/>
          <w:szCs w:val="24"/>
        </w:rPr>
        <w:t xml:space="preserve"> </w:t>
      </w:r>
      <w:r w:rsidR="00003026">
        <w:fldChar w:fldCharType="begin"/>
      </w:r>
      <w:r w:rsidR="00003026">
        <w:rPr>
          <w:rFonts w:ascii="Times New Roman" w:hAnsi="Times New Roman" w:cs="Times New Roman"/>
          <w:sz w:val="24"/>
          <w:szCs w:val="24"/>
        </w:rPr>
        <w:instrText>ADDIN ZOTERO_ITEM CSL_CITATION {"citationID":"XizlTclQ","properties":{"formattedCitation":"(Gladwin &amp; Figner, 2019)","plainCitation":"(Gladwin &amp; Figner, 2019)","noteIndex":0},"citationItems":[{"id":2473,"uris":["http://zotero.org/users/3283490/items/NQGTHVTJ"],"uri":["http://zotero.org/users/3283490/items/NQGTHVTJ"],"itemData":{"id":2473,"type":"article-journal","abstract":"Visual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E."},{"family":"Figner","given":"Bernd"}],"issued":{"date-parts":[["2019",5]]}}}],"schema":"https://github.com/citation-style-language/schema/raw/master/csl-citation.json"}</w:instrText>
      </w:r>
      <w:r w:rsidR="00003026">
        <w:rPr>
          <w:rFonts w:ascii="Times New Roman" w:hAnsi="Times New Roman" w:cs="Times New Roman"/>
          <w:sz w:val="24"/>
          <w:szCs w:val="24"/>
        </w:rPr>
        <w:fldChar w:fldCharType="separate"/>
      </w:r>
      <w:r w:rsidR="00003026">
        <w:rPr>
          <w:rFonts w:ascii="Times New Roman" w:hAnsi="Times New Roman" w:cs="Times New Roman"/>
          <w:sz w:val="24"/>
        </w:rPr>
        <w:t>(Gladwin &amp; Figner, 2019)</w:t>
      </w:r>
      <w:r w:rsidR="00003026">
        <w:rPr>
          <w:rFonts w:ascii="Times New Roman" w:hAnsi="Times New Roman" w:cs="Times New Roman"/>
          <w:sz w:val="24"/>
          <w:szCs w:val="24"/>
        </w:rPr>
        <w:fldChar w:fldCharType="end"/>
      </w:r>
      <w:r>
        <w:rPr>
          <w:rFonts w:ascii="Times New Roman" w:hAnsi="Times New Roman" w:cs="Times New Roman"/>
          <w:sz w:val="24"/>
          <w:szCs w:val="24"/>
        </w:rPr>
        <w:t xml:space="preserve">, which leaves open the possibility that target repetition may moderate carryover effects.  Similar to the t-test reported above, there was a main effect of current trial type, </w:t>
      </w:r>
      <w:r>
        <w:rPr>
          <w:rFonts w:ascii="Times New Roman" w:hAnsi="Times New Roman" w:cs="Times New Roman"/>
          <w:i/>
          <w:sz w:val="24"/>
          <w:szCs w:val="24"/>
        </w:rPr>
        <w:t>F</w:t>
      </w:r>
      <w:r>
        <w:rPr>
          <w:rFonts w:ascii="Times New Roman" w:hAnsi="Times New Roman" w:cs="Times New Roman"/>
          <w:sz w:val="24"/>
          <w:szCs w:val="24"/>
        </w:rPr>
        <w:t xml:space="preserve">(1, 46115) = 348.91, </w:t>
      </w:r>
      <w:r>
        <w:rPr>
          <w:rFonts w:ascii="Times New Roman" w:hAnsi="Times New Roman" w:cs="Times New Roman"/>
          <w:i/>
          <w:sz w:val="24"/>
          <w:szCs w:val="24"/>
        </w:rPr>
        <w:t xml:space="preserve">p </w:t>
      </w:r>
      <w:r>
        <w:rPr>
          <w:rFonts w:ascii="Times New Roman" w:hAnsi="Times New Roman" w:cs="Times New Roman"/>
          <w:sz w:val="24"/>
          <w:szCs w:val="24"/>
        </w:rPr>
        <w:t>&lt; .001: RTs were faster on congruent (</w:t>
      </w:r>
      <w:r>
        <w:rPr>
          <w:rFonts w:ascii="Times New Roman" w:hAnsi="Times New Roman" w:cs="Times New Roman"/>
          <w:i/>
          <w:sz w:val="24"/>
          <w:szCs w:val="24"/>
        </w:rPr>
        <w:t xml:space="preserve">M </w:t>
      </w:r>
      <w:r>
        <w:rPr>
          <w:rFonts w:ascii="Times New Roman" w:hAnsi="Times New Roman" w:cs="Times New Roman"/>
          <w:sz w:val="24"/>
          <w:szCs w:val="24"/>
        </w:rPr>
        <w:t xml:space="preserve">= 329, </w:t>
      </w:r>
      <w:r w:rsidR="006E011F" w:rsidRPr="006E011F">
        <w:rPr>
          <w:rFonts w:ascii="Times New Roman" w:hAnsi="Times New Roman" w:cs="Times New Roman"/>
          <w:i/>
          <w:iCs/>
          <w:sz w:val="24"/>
          <w:szCs w:val="24"/>
        </w:rPr>
        <w:t>SD</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E83FF9">
        <w:rPr>
          <w:rFonts w:ascii="Times New Roman" w:hAnsi="Times New Roman" w:cs="Times New Roman"/>
          <w:sz w:val="24"/>
          <w:szCs w:val="24"/>
        </w:rPr>
        <w:t>68</w:t>
      </w:r>
      <w:r>
        <w:rPr>
          <w:rFonts w:ascii="Times New Roman" w:hAnsi="Times New Roman" w:cs="Times New Roman"/>
          <w:sz w:val="24"/>
          <w:szCs w:val="24"/>
        </w:rPr>
        <w:t>) relative to incongruent (</w:t>
      </w:r>
      <w:r>
        <w:rPr>
          <w:rFonts w:ascii="Times New Roman" w:hAnsi="Times New Roman" w:cs="Times New Roman"/>
          <w:i/>
          <w:sz w:val="24"/>
          <w:szCs w:val="24"/>
        </w:rPr>
        <w:t xml:space="preserve">M </w:t>
      </w:r>
      <w:r>
        <w:rPr>
          <w:rFonts w:ascii="Times New Roman" w:hAnsi="Times New Roman" w:cs="Times New Roman"/>
          <w:sz w:val="24"/>
          <w:szCs w:val="24"/>
        </w:rPr>
        <w:t xml:space="preserve">= 339, </w:t>
      </w:r>
      <w:r w:rsidR="00E83FF9">
        <w:rPr>
          <w:rFonts w:ascii="Times New Roman" w:hAnsi="Times New Roman" w:cs="Times New Roman"/>
          <w:i/>
          <w:sz w:val="24"/>
          <w:szCs w:val="24"/>
        </w:rPr>
        <w:t>SD</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E83FF9">
        <w:rPr>
          <w:rFonts w:ascii="Times New Roman" w:hAnsi="Times New Roman" w:cs="Times New Roman"/>
          <w:sz w:val="24"/>
          <w:szCs w:val="24"/>
        </w:rPr>
        <w:t>69</w:t>
      </w:r>
      <w:r>
        <w:rPr>
          <w:rFonts w:ascii="Times New Roman" w:hAnsi="Times New Roman" w:cs="Times New Roman"/>
          <w:sz w:val="24"/>
          <w:szCs w:val="24"/>
        </w:rPr>
        <w:t>) trials.  There was also a main effect of target location repetition (</w:t>
      </w:r>
      <w:r>
        <w:rPr>
          <w:rFonts w:ascii="Times New Roman" w:hAnsi="Times New Roman" w:cs="Times New Roman"/>
          <w:i/>
          <w:sz w:val="24"/>
          <w:szCs w:val="24"/>
        </w:rPr>
        <w:t>F</w:t>
      </w:r>
      <w:r>
        <w:rPr>
          <w:rFonts w:ascii="Times New Roman" w:hAnsi="Times New Roman" w:cs="Times New Roman"/>
          <w:sz w:val="24"/>
          <w:szCs w:val="24"/>
        </w:rPr>
        <w:t xml:space="preserve">(1, 46115) = 222.06, </w:t>
      </w:r>
      <w:r>
        <w:rPr>
          <w:rFonts w:ascii="Times New Roman" w:hAnsi="Times New Roman" w:cs="Times New Roman"/>
          <w:i/>
          <w:sz w:val="24"/>
          <w:szCs w:val="24"/>
        </w:rPr>
        <w:t xml:space="preserve">p </w:t>
      </w:r>
      <w:r>
        <w:rPr>
          <w:rFonts w:ascii="Times New Roman" w:hAnsi="Times New Roman" w:cs="Times New Roman"/>
          <w:sz w:val="24"/>
          <w:szCs w:val="24"/>
        </w:rPr>
        <w:t>&lt; .001) where</w:t>
      </w:r>
      <w:r w:rsidR="00003026">
        <w:rPr>
          <w:rFonts w:ascii="Times New Roman" w:hAnsi="Times New Roman" w:cs="Times New Roman"/>
          <w:sz w:val="24"/>
          <w:szCs w:val="24"/>
        </w:rPr>
        <w:t>in</w:t>
      </w:r>
      <w:r>
        <w:rPr>
          <w:rFonts w:ascii="Times New Roman" w:hAnsi="Times New Roman" w:cs="Times New Roman"/>
          <w:sz w:val="24"/>
          <w:szCs w:val="24"/>
        </w:rPr>
        <w:t xml:space="preserve"> RTs were faster for non-repeated target locations (</w:t>
      </w:r>
      <w:r w:rsidRPr="004A068C">
        <w:rPr>
          <w:rFonts w:ascii="Times New Roman" w:hAnsi="Times New Roman" w:cs="Times New Roman"/>
          <w:i/>
          <w:color w:val="4472C4" w:themeColor="accent1"/>
          <w:sz w:val="24"/>
          <w:szCs w:val="24"/>
        </w:rPr>
        <w:t>M</w:t>
      </w:r>
      <w:r>
        <w:rPr>
          <w:rFonts w:ascii="Times New Roman" w:hAnsi="Times New Roman" w:cs="Times New Roman"/>
          <w:i/>
          <w:sz w:val="24"/>
          <w:szCs w:val="24"/>
        </w:rPr>
        <w:t xml:space="preserve"> </w:t>
      </w:r>
      <w:r>
        <w:rPr>
          <w:rFonts w:ascii="Times New Roman" w:hAnsi="Times New Roman" w:cs="Times New Roman"/>
          <w:sz w:val="24"/>
          <w:szCs w:val="24"/>
        </w:rPr>
        <w:t xml:space="preserve">= 330, </w:t>
      </w:r>
      <w:r>
        <w:rPr>
          <w:rFonts w:ascii="Times New Roman" w:hAnsi="Times New Roman" w:cs="Times New Roman"/>
          <w:i/>
          <w:sz w:val="24"/>
          <w:szCs w:val="24"/>
        </w:rPr>
        <w:t xml:space="preserve">SE </w:t>
      </w:r>
      <w:r>
        <w:rPr>
          <w:rFonts w:ascii="Times New Roman" w:hAnsi="Times New Roman" w:cs="Times New Roman"/>
          <w:sz w:val="24"/>
          <w:szCs w:val="24"/>
        </w:rPr>
        <w:t>= 2.32) relative to repeated locations (</w:t>
      </w:r>
      <w:r w:rsidRPr="004A068C">
        <w:rPr>
          <w:rFonts w:ascii="Times New Roman" w:hAnsi="Times New Roman" w:cs="Times New Roman"/>
          <w:i/>
          <w:color w:val="4472C4" w:themeColor="accent1"/>
          <w:sz w:val="24"/>
          <w:szCs w:val="24"/>
        </w:rPr>
        <w:t>M</w:t>
      </w:r>
      <w:r>
        <w:rPr>
          <w:rFonts w:ascii="Times New Roman" w:hAnsi="Times New Roman" w:cs="Times New Roman"/>
          <w:i/>
          <w:sz w:val="24"/>
          <w:szCs w:val="24"/>
        </w:rPr>
        <w:t xml:space="preserve"> </w:t>
      </w:r>
      <w:r>
        <w:rPr>
          <w:rFonts w:ascii="Times New Roman" w:hAnsi="Times New Roman" w:cs="Times New Roman"/>
          <w:sz w:val="24"/>
          <w:szCs w:val="24"/>
        </w:rPr>
        <w:t xml:space="preserve">= 338, </w:t>
      </w:r>
      <w:r>
        <w:rPr>
          <w:rFonts w:ascii="Times New Roman" w:hAnsi="Times New Roman" w:cs="Times New Roman"/>
          <w:i/>
          <w:sz w:val="24"/>
          <w:szCs w:val="24"/>
        </w:rPr>
        <w:t xml:space="preserve">SE </w:t>
      </w:r>
      <w:r>
        <w:rPr>
          <w:rFonts w:ascii="Times New Roman" w:hAnsi="Times New Roman" w:cs="Times New Roman"/>
          <w:sz w:val="24"/>
          <w:szCs w:val="24"/>
        </w:rPr>
        <w:t>= 2.38).  There was also an interaction between target location repetition and previous trial congruency (</w:t>
      </w:r>
      <w:r>
        <w:rPr>
          <w:rFonts w:ascii="Times New Roman" w:hAnsi="Times New Roman" w:cs="Times New Roman"/>
          <w:i/>
          <w:sz w:val="24"/>
          <w:szCs w:val="24"/>
        </w:rPr>
        <w:t>F</w:t>
      </w:r>
      <w:r>
        <w:rPr>
          <w:rFonts w:ascii="Times New Roman" w:hAnsi="Times New Roman" w:cs="Times New Roman"/>
          <w:sz w:val="24"/>
          <w:szCs w:val="24"/>
        </w:rPr>
        <w:t xml:space="preserve">(1, 46115) = 6.08, </w:t>
      </w:r>
      <w:r>
        <w:rPr>
          <w:rFonts w:ascii="Times New Roman" w:hAnsi="Times New Roman" w:cs="Times New Roman"/>
          <w:i/>
          <w:sz w:val="24"/>
          <w:szCs w:val="24"/>
        </w:rPr>
        <w:t xml:space="preserve">p </w:t>
      </w:r>
      <w:r>
        <w:rPr>
          <w:rFonts w:ascii="Times New Roman" w:hAnsi="Times New Roman" w:cs="Times New Roman"/>
          <w:sz w:val="24"/>
          <w:szCs w:val="24"/>
        </w:rPr>
        <w:t>= .01) such that RTs for non-repeated target locations were faster if the previous trial was congruent (</w:t>
      </w:r>
      <w:r>
        <w:rPr>
          <w:rFonts w:ascii="Times New Roman" w:hAnsi="Times New Roman" w:cs="Times New Roman"/>
          <w:i/>
          <w:sz w:val="24"/>
          <w:szCs w:val="24"/>
        </w:rPr>
        <w:t xml:space="preserve">M </w:t>
      </w:r>
      <w:r>
        <w:rPr>
          <w:rFonts w:ascii="Times New Roman" w:hAnsi="Times New Roman" w:cs="Times New Roman"/>
          <w:sz w:val="24"/>
          <w:szCs w:val="24"/>
        </w:rPr>
        <w:t xml:space="preserve">= 329, </w:t>
      </w:r>
      <w:r>
        <w:rPr>
          <w:rFonts w:ascii="Times New Roman" w:hAnsi="Times New Roman" w:cs="Times New Roman"/>
          <w:i/>
          <w:sz w:val="24"/>
          <w:szCs w:val="24"/>
        </w:rPr>
        <w:t xml:space="preserve">SE </w:t>
      </w:r>
      <w:r>
        <w:rPr>
          <w:rFonts w:ascii="Times New Roman" w:hAnsi="Times New Roman" w:cs="Times New Roman"/>
          <w:sz w:val="24"/>
          <w:szCs w:val="24"/>
        </w:rPr>
        <w:t>= 2.34) relative to incongruent (</w:t>
      </w:r>
      <w:r>
        <w:rPr>
          <w:rFonts w:ascii="Times New Roman" w:hAnsi="Times New Roman" w:cs="Times New Roman"/>
          <w:i/>
          <w:sz w:val="24"/>
          <w:szCs w:val="24"/>
        </w:rPr>
        <w:t xml:space="preserve">M </w:t>
      </w:r>
      <w:r>
        <w:rPr>
          <w:rFonts w:ascii="Times New Roman" w:hAnsi="Times New Roman" w:cs="Times New Roman"/>
          <w:sz w:val="24"/>
          <w:szCs w:val="24"/>
        </w:rPr>
        <w:t xml:space="preserve">= 331, </w:t>
      </w:r>
      <w:r>
        <w:rPr>
          <w:rFonts w:ascii="Times New Roman" w:hAnsi="Times New Roman" w:cs="Times New Roman"/>
          <w:i/>
          <w:sz w:val="24"/>
          <w:szCs w:val="24"/>
        </w:rPr>
        <w:t xml:space="preserve">SE </w:t>
      </w:r>
      <w:r>
        <w:rPr>
          <w:rFonts w:ascii="Times New Roman" w:hAnsi="Times New Roman" w:cs="Times New Roman"/>
          <w:sz w:val="24"/>
          <w:szCs w:val="24"/>
        </w:rPr>
        <w:t xml:space="preserve">= 2.36). </w:t>
      </w:r>
      <w:r w:rsidR="00003026">
        <w:rPr>
          <w:rFonts w:ascii="Times New Roman" w:hAnsi="Times New Roman" w:cs="Times New Roman"/>
          <w:sz w:val="24"/>
          <w:szCs w:val="24"/>
        </w:rPr>
        <w:t xml:space="preserve">Meanwhile, </w:t>
      </w:r>
      <w:r>
        <w:rPr>
          <w:rFonts w:ascii="Times New Roman" w:hAnsi="Times New Roman" w:cs="Times New Roman"/>
          <w:sz w:val="24"/>
          <w:szCs w:val="24"/>
        </w:rPr>
        <w:t xml:space="preserve">for repeated target location there was </w:t>
      </w:r>
      <w:r w:rsidRPr="00400012">
        <w:rPr>
          <w:rFonts w:ascii="Times New Roman" w:hAnsi="Times New Roman" w:cs="Times New Roman"/>
          <w:color w:val="4472C4" w:themeColor="accent1"/>
          <w:sz w:val="24"/>
          <w:szCs w:val="24"/>
        </w:rPr>
        <w:t>no</w:t>
      </w:r>
      <w:r w:rsidR="00400012" w:rsidRPr="00400012">
        <w:rPr>
          <w:rFonts w:ascii="Times New Roman" w:hAnsi="Times New Roman" w:cs="Times New Roman"/>
          <w:color w:val="4472C4" w:themeColor="accent1"/>
          <w:sz w:val="24"/>
          <w:szCs w:val="24"/>
        </w:rPr>
        <w:t xml:space="preserve"> statistically significant </w:t>
      </w:r>
      <w:r w:rsidRPr="00400012">
        <w:rPr>
          <w:rFonts w:ascii="Times New Roman" w:hAnsi="Times New Roman" w:cs="Times New Roman"/>
          <w:color w:val="4472C4" w:themeColor="accent1"/>
          <w:sz w:val="24"/>
          <w:szCs w:val="24"/>
        </w:rPr>
        <w:t xml:space="preserve">difference </w:t>
      </w:r>
      <w:r>
        <w:rPr>
          <w:rFonts w:ascii="Times New Roman" w:hAnsi="Times New Roman" w:cs="Times New Roman"/>
          <w:sz w:val="24"/>
          <w:szCs w:val="24"/>
        </w:rPr>
        <w:t>in RTs between trials where the previous trial was congruent (</w:t>
      </w:r>
      <w:r>
        <w:rPr>
          <w:rFonts w:ascii="Times New Roman" w:hAnsi="Times New Roman" w:cs="Times New Roman"/>
          <w:i/>
          <w:sz w:val="24"/>
          <w:szCs w:val="24"/>
        </w:rPr>
        <w:t xml:space="preserve">M </w:t>
      </w:r>
      <w:r>
        <w:rPr>
          <w:rFonts w:ascii="Times New Roman" w:hAnsi="Times New Roman" w:cs="Times New Roman"/>
          <w:sz w:val="24"/>
          <w:szCs w:val="24"/>
        </w:rPr>
        <w:t xml:space="preserve">= 339, </w:t>
      </w:r>
      <w:r>
        <w:rPr>
          <w:rFonts w:ascii="Times New Roman" w:hAnsi="Times New Roman" w:cs="Times New Roman"/>
          <w:i/>
          <w:sz w:val="24"/>
          <w:szCs w:val="24"/>
        </w:rPr>
        <w:t xml:space="preserve">SE </w:t>
      </w:r>
      <w:r>
        <w:rPr>
          <w:rFonts w:ascii="Times New Roman" w:hAnsi="Times New Roman" w:cs="Times New Roman"/>
          <w:sz w:val="24"/>
          <w:szCs w:val="24"/>
        </w:rPr>
        <w:t>= 2.42) relative to incongruent (</w:t>
      </w:r>
      <w:r>
        <w:rPr>
          <w:rFonts w:ascii="Times New Roman" w:hAnsi="Times New Roman" w:cs="Times New Roman"/>
          <w:i/>
          <w:sz w:val="24"/>
          <w:szCs w:val="24"/>
        </w:rPr>
        <w:t xml:space="preserve">M </w:t>
      </w:r>
      <w:r>
        <w:rPr>
          <w:rFonts w:ascii="Times New Roman" w:hAnsi="Times New Roman" w:cs="Times New Roman"/>
          <w:sz w:val="24"/>
          <w:szCs w:val="24"/>
        </w:rPr>
        <w:t xml:space="preserve">= 338, </w:t>
      </w:r>
      <w:r>
        <w:rPr>
          <w:rFonts w:ascii="Times New Roman" w:hAnsi="Times New Roman" w:cs="Times New Roman"/>
          <w:i/>
          <w:sz w:val="24"/>
          <w:szCs w:val="24"/>
        </w:rPr>
        <w:t xml:space="preserve">SE </w:t>
      </w:r>
      <w:r>
        <w:rPr>
          <w:rFonts w:ascii="Times New Roman" w:hAnsi="Times New Roman" w:cs="Times New Roman"/>
          <w:sz w:val="24"/>
          <w:szCs w:val="24"/>
        </w:rPr>
        <w:t>= 2.42). Critically, neither the 2-way interaction between current trial congruency and previous trial congruency (</w:t>
      </w:r>
      <w:r>
        <w:rPr>
          <w:rFonts w:ascii="Times New Roman" w:hAnsi="Times New Roman" w:cs="Times New Roman"/>
          <w:i/>
          <w:sz w:val="24"/>
          <w:szCs w:val="24"/>
        </w:rPr>
        <w:t>F</w:t>
      </w:r>
      <w:r>
        <w:rPr>
          <w:rFonts w:ascii="Times New Roman" w:hAnsi="Times New Roman" w:cs="Times New Roman"/>
          <w:sz w:val="24"/>
          <w:szCs w:val="24"/>
        </w:rPr>
        <w:t xml:space="preserve">(1, 46115) = 0.59, </w:t>
      </w:r>
      <w:r>
        <w:rPr>
          <w:rFonts w:ascii="Times New Roman" w:hAnsi="Times New Roman" w:cs="Times New Roman"/>
          <w:i/>
          <w:sz w:val="24"/>
          <w:szCs w:val="24"/>
        </w:rPr>
        <w:t xml:space="preserve">p </w:t>
      </w:r>
      <w:r>
        <w:rPr>
          <w:rFonts w:ascii="Times New Roman" w:hAnsi="Times New Roman" w:cs="Times New Roman"/>
          <w:sz w:val="24"/>
          <w:szCs w:val="24"/>
        </w:rPr>
        <w:t>= .44) nor the 3-way interaction (</w:t>
      </w:r>
      <w:r>
        <w:rPr>
          <w:rFonts w:ascii="Times New Roman" w:hAnsi="Times New Roman" w:cs="Times New Roman"/>
          <w:i/>
          <w:sz w:val="24"/>
          <w:szCs w:val="24"/>
        </w:rPr>
        <w:t>F</w:t>
      </w:r>
      <w:r>
        <w:rPr>
          <w:rFonts w:ascii="Times New Roman" w:hAnsi="Times New Roman" w:cs="Times New Roman"/>
          <w:sz w:val="24"/>
          <w:szCs w:val="24"/>
        </w:rPr>
        <w:t xml:space="preserve">(1, 46115) = 0.84, </w:t>
      </w:r>
      <w:r>
        <w:rPr>
          <w:rFonts w:ascii="Times New Roman" w:hAnsi="Times New Roman" w:cs="Times New Roman"/>
          <w:i/>
          <w:sz w:val="24"/>
          <w:szCs w:val="24"/>
        </w:rPr>
        <w:t xml:space="preserve">p </w:t>
      </w:r>
      <w:r>
        <w:rPr>
          <w:rFonts w:ascii="Times New Roman" w:hAnsi="Times New Roman" w:cs="Times New Roman"/>
          <w:sz w:val="24"/>
          <w:szCs w:val="24"/>
        </w:rPr>
        <w:t>= .36) were significant</w:t>
      </w:r>
      <w:r w:rsidR="00003026">
        <w:rPr>
          <w:rFonts w:ascii="Times New Roman" w:hAnsi="Times New Roman" w:cs="Times New Roman"/>
          <w:sz w:val="24"/>
          <w:szCs w:val="24"/>
        </w:rPr>
        <w:t>,</w:t>
      </w:r>
      <w:r>
        <w:rPr>
          <w:rFonts w:ascii="Times New Roman" w:hAnsi="Times New Roman" w:cs="Times New Roman"/>
          <w:sz w:val="24"/>
          <w:szCs w:val="24"/>
        </w:rPr>
        <w:t xml:space="preserve"> indicating that no carryover effects were observed.</w:t>
      </w:r>
      <w:r>
        <w:t xml:space="preserve"> </w:t>
      </w:r>
      <w:r>
        <w:rPr>
          <w:rFonts w:ascii="Times New Roman" w:hAnsi="Times New Roman" w:cs="Times New Roman"/>
          <w:sz w:val="24"/>
          <w:szCs w:val="24"/>
        </w:rPr>
        <w:t>No other effects were significant.</w:t>
      </w:r>
    </w:p>
    <w:p w14:paraId="13742468" w14:textId="5241F40F"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We followed up the GLMM approach with a Bayesian analysis</w:t>
      </w:r>
      <w:r w:rsidR="00364EBE">
        <w:rPr>
          <w:rFonts w:ascii="Times New Roman" w:hAnsi="Times New Roman" w:cs="Times New Roman"/>
          <w:color w:val="4472C4" w:themeColor="accent1"/>
          <w:sz w:val="24"/>
          <w:szCs w:val="24"/>
        </w:rPr>
        <w:t>. Given that</w:t>
      </w:r>
      <w:r w:rsidR="00364EBE" w:rsidRPr="00364EBE">
        <w:t xml:space="preserve"> </w:t>
      </w:r>
      <w:r w:rsidR="00364EBE" w:rsidRPr="00364EBE">
        <w:rPr>
          <w:rFonts w:ascii="Times New Roman" w:hAnsi="Times New Roman" w:cs="Times New Roman"/>
          <w:color w:val="4472C4" w:themeColor="accent1"/>
          <w:sz w:val="24"/>
          <w:szCs w:val="24"/>
        </w:rPr>
        <w:t>there were no clear prior probabilities based on previous research, a diffuse (or uninformative) prior was used</w:t>
      </w:r>
      <w:r w:rsidR="00E80BA2">
        <w:rPr>
          <w:rFonts w:ascii="Times New Roman" w:hAnsi="Times New Roman" w:cs="Times New Roman"/>
          <w:sz w:val="24"/>
          <w:szCs w:val="24"/>
        </w:rPr>
        <w:t xml:space="preserve"> </w:t>
      </w:r>
      <w:r w:rsidR="00BA6C9C" w:rsidRPr="0084700D">
        <w:rPr>
          <w:rFonts w:ascii="Times New Roman" w:hAnsi="Times New Roman" w:cs="Times New Roman"/>
          <w:color w:val="4472C4" w:themeColor="accent1"/>
          <w:sz w:val="24"/>
          <w:szCs w:val="24"/>
        </w:rPr>
        <w:t xml:space="preserve">in SPSS </w:t>
      </w:r>
      <w:r w:rsidR="0084700D">
        <w:rPr>
          <w:rFonts w:ascii="Times New Roman" w:hAnsi="Times New Roman" w:cs="Times New Roman"/>
          <w:sz w:val="24"/>
          <w:szCs w:val="24"/>
        </w:rPr>
        <w:t>to</w:t>
      </w:r>
      <w:r>
        <w:rPr>
          <w:rFonts w:ascii="Times New Roman" w:hAnsi="Times New Roman" w:cs="Times New Roman"/>
          <w:sz w:val="24"/>
          <w:szCs w:val="24"/>
        </w:rPr>
        <w:t xml:space="preserve"> quantify evidence </w:t>
      </w:r>
      <w:r w:rsidR="00E80BA2">
        <w:rPr>
          <w:rFonts w:ascii="Times New Roman" w:hAnsi="Times New Roman" w:cs="Times New Roman"/>
          <w:sz w:val="24"/>
          <w:szCs w:val="24"/>
        </w:rPr>
        <w:t>for</w:t>
      </w:r>
      <w:r>
        <w:rPr>
          <w:rFonts w:ascii="Times New Roman" w:hAnsi="Times New Roman" w:cs="Times New Roman"/>
          <w:sz w:val="24"/>
          <w:szCs w:val="24"/>
        </w:rPr>
        <w:t xml:space="preserve"> the null hypothesis that there is no carryover effect for threat. A Bayes Factor analysis on a related-sample t-test indicated moderate evidence for the null hypothesis (BF01 = 5.38). In other words, the data is 5.38 times as likely under the null hypothesis than under the alternative hypothesis (i.e., that there is an influence of previous trial congruency on current trial congruency). </w:t>
      </w:r>
    </w:p>
    <w:p w14:paraId="69A56040" w14:textId="77777777" w:rsidR="00A05BCF" w:rsidRDefault="008718CC" w:rsidP="0065645B">
      <w:pPr>
        <w:pStyle w:val="Heading"/>
      </w:pPr>
      <w:r>
        <w:t>Experiment 2</w:t>
      </w:r>
    </w:p>
    <w:p w14:paraId="086A797B" w14:textId="069CB3EE" w:rsidR="00A05BCF" w:rsidRDefault="008718CC">
      <w:pPr>
        <w:spacing w:after="0" w:line="240" w:lineRule="auto"/>
        <w:contextualSpacing/>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 Experiment 2, our goal was to replicate and extend our lack of carryover effects with another category of threatening stimuli: threatening images </w:t>
      </w:r>
      <w:r>
        <w:fldChar w:fldCharType="begin"/>
      </w:r>
      <w:r>
        <w:rPr>
          <w:rFonts w:ascii="Times New Roman" w:hAnsi="Times New Roman" w:cs="Times New Roman"/>
          <w:sz w:val="24"/>
          <w:szCs w:val="24"/>
        </w:rPr>
        <w:instrText>ADDIN ZOTERO_ITEM CSL_CITATION {"citationID":"ggWX7XP5","properties":{"formattedCitation":"(Lang, 2008)","plainCitation":"(Lang, 2008)","noteIndex":0},"citationItems":[{"id":2528,"uris":["http://zotero.org/users/3283490/items/NXA4YFDY"],"uri":["http://zotero.org/users/3283490/items/NXA4YFDY"],"itemData":{"id":2528,"type":"article-journal","container-title":"Technical Report","note":"publisher: University of Florida","source":"CiNii","title":"International affective picture system (IAPS) : affective ratings of pictures and instruction manual","title-short":"International affective picture system (IAPS)","URL":"https://ci.nii.ac.jp/naid/20001061266/","author":[{"family":"Lang","given":"PJ"}],"accessed":{"date-parts":[["2020",7,15]]},"issued":{"date-parts":[["2008"]]}}}],"schema":"https://github.com/citation-style-language/schema/raw/master/csl-citation.json"}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(Lang, 2008)</w:t>
      </w:r>
      <w:r>
        <w:rPr>
          <w:rFonts w:ascii="Times New Roman" w:hAnsi="Times New Roman" w:cs="Times New Roman"/>
          <w:sz w:val="24"/>
          <w:szCs w:val="24"/>
        </w:rPr>
        <w:fldChar w:fldCharType="end"/>
      </w:r>
      <w:r>
        <w:rPr>
          <w:rFonts w:ascii="Times New Roman" w:hAnsi="Times New Roman" w:cs="Times New Roman"/>
          <w:sz w:val="24"/>
          <w:szCs w:val="24"/>
        </w:rPr>
        <w:t xml:space="preserve">.  We </w:t>
      </w:r>
      <w:r w:rsidR="00A10FFB">
        <w:rPr>
          <w:rFonts w:ascii="Times New Roman" w:hAnsi="Times New Roman" w:cs="Times New Roman"/>
          <w:sz w:val="24"/>
          <w:szCs w:val="24"/>
        </w:rPr>
        <w:t>used</w:t>
      </w:r>
      <w:r>
        <w:rPr>
          <w:rFonts w:ascii="Times New Roman" w:hAnsi="Times New Roman" w:cs="Times New Roman"/>
          <w:sz w:val="24"/>
          <w:szCs w:val="24"/>
        </w:rPr>
        <w:t xml:space="preserve"> data from Experiment 2 of </w:t>
      </w:r>
      <w:r>
        <w:fldChar w:fldCharType="begin"/>
      </w:r>
      <w:r>
        <w:rPr>
          <w:rFonts w:ascii="Times New Roman" w:hAnsi="Times New Roman" w:cs="Times New Roman"/>
          <w:sz w:val="24"/>
          <w:szCs w:val="24"/>
        </w:rPr>
        <w:instrText>ADDIN ZOTERO_ITEM CSL_CITATION {"citationID":"uMf6CGyr","properties":{"formattedCitation":"(Carlson &amp; Fang, 2020)","plainCitation":"(Carlson &amp; Fang, 2020)","dontUpdate":true,"noteIndex":0},"citationItems":[{"id":2523,"uris":["http://zotero.org/users/3283490/items/8P8HYVEV"],"uri":["http://zotero.org/users/3283490/items/8P8HYVEV"],"itemData":{"id":2523,"type":"article-journal","abstract":"A new method of calculating attentional bias from the dot-probe task measures fluctuations in bias towards and away from emotional stimuli over time using trial level bias score metrics. We assessed the stability and reliability of traditional attentional bias scores and trial level bias score measures of attentional bias across time in two five-block dot-probe task experiments in non-clinical samples. In experiments 1 and 2, both traditional attentional bias scores and trial level bias score measures of attentional bias did not habituate/decrease across time. In general, trial level bias score metrics (i.e., attention bias variability as well as the mean biases toward and away from threat) were more reliable than the traditional attention bias measure. This pattern was observed across both experiments. The traditional bias score, however, did improve in reliability in the later blocks of the fearful face dot-probe task. Although trial level bias score measures did not habituate and were more reliable across blocks, these measures did not correlate with state or trait anxiety. On the other hand, trial level bias score measures were strongly correlated with general reaction time variability—and after controlling for this effect no longer superior in reliability in comparison to the traditional attention bias measure. We conclude that general response variability should be removed from trial level bias score measures to ensure that they truly reflect attention bias variability.","container-title":"Motivation and Emotion","language":"en","page":"13","source":"Zotero","title":"The stability and reliability of attentional bias measures in the dot-probe task: Evidence from both traditional mean bias scores and trial-level bias scores","author":[{"family":"Carlson","given":"Joshua M"},{"family":"Fang","given":"Lin"}],"issued":{"date-parts":[["2020"]]}}}],"schema":"https://github.com/citation-style-language/schema/raw/master/csl-citation.json"}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AUTHOR (2020)</w:t>
      </w:r>
      <w:r>
        <w:rPr>
          <w:rFonts w:ascii="Times New Roman" w:hAnsi="Times New Roman" w:cs="Times New Roman"/>
          <w:sz w:val="24"/>
          <w:szCs w:val="24"/>
        </w:rPr>
        <w:fldChar w:fldCharType="end"/>
      </w:r>
      <w:r>
        <w:rPr>
          <w:rFonts w:ascii="Times New Roman" w:hAnsi="Times New Roman" w:cs="Times New Roman"/>
          <w:sz w:val="24"/>
          <w:szCs w:val="24"/>
        </w:rPr>
        <w:t>.  The method for Experiment 2 is the same as Experiment 1 except for the following.</w:t>
      </w:r>
    </w:p>
    <w:p w14:paraId="77C30B51" w14:textId="77777777" w:rsidR="00A05BCF" w:rsidRDefault="008718CC" w:rsidP="0065645B">
      <w:pPr>
        <w:pStyle w:val="Heading3"/>
      </w:pPr>
      <w:r>
        <w:t>Method</w:t>
      </w:r>
    </w:p>
    <w:p w14:paraId="10962601" w14:textId="77777777"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i/>
          <w:iCs/>
          <w:sz w:val="24"/>
          <w:szCs w:val="24"/>
        </w:rPr>
        <w:t xml:space="preserve">Participants.  </w:t>
      </w:r>
      <w:r>
        <w:rPr>
          <w:rFonts w:ascii="Times New Roman" w:hAnsi="Times New Roman" w:cs="Times New Roman"/>
          <w:sz w:val="24"/>
          <w:szCs w:val="24"/>
        </w:rPr>
        <w:t>Participants with an overall accuracy below 90% percent (4 in total) were removed from all analyses, leaving a final sample size of 82 (</w:t>
      </w:r>
      <w:r>
        <w:rPr>
          <w:rFonts w:ascii="Times New Roman" w:hAnsi="Times New Roman" w:cs="Times New Roman"/>
          <w:i/>
          <w:sz w:val="24"/>
          <w:szCs w:val="24"/>
        </w:rPr>
        <w:t>M</w:t>
      </w:r>
      <w:r>
        <w:rPr>
          <w:rFonts w:ascii="Times New Roman" w:hAnsi="Times New Roman" w:cs="Times New Roman"/>
          <w:i/>
          <w:sz w:val="24"/>
          <w:szCs w:val="24"/>
          <w:vertAlign w:val="subscript"/>
        </w:rPr>
        <w:t>age</w:t>
      </w:r>
      <w:r>
        <w:rPr>
          <w:rFonts w:ascii="Times New Roman" w:hAnsi="Times New Roman" w:cs="Times New Roman"/>
          <w:sz w:val="24"/>
          <w:szCs w:val="24"/>
        </w:rPr>
        <w:t xml:space="preserve"> = 20, </w:t>
      </w:r>
      <w:r>
        <w:rPr>
          <w:rFonts w:ascii="Times New Roman" w:hAnsi="Times New Roman" w:cs="Times New Roman"/>
          <w:i/>
          <w:sz w:val="24"/>
          <w:szCs w:val="24"/>
        </w:rPr>
        <w:t>SD</w:t>
      </w:r>
      <w:r>
        <w:rPr>
          <w:rFonts w:ascii="Times New Roman" w:hAnsi="Times New Roman" w:cs="Times New Roman"/>
          <w:i/>
          <w:sz w:val="24"/>
          <w:szCs w:val="24"/>
          <w:vertAlign w:val="subscript"/>
        </w:rPr>
        <w:t>age</w:t>
      </w:r>
      <w:r>
        <w:rPr>
          <w:rFonts w:ascii="Times New Roman" w:hAnsi="Times New Roman" w:cs="Times New Roman"/>
          <w:sz w:val="24"/>
          <w:szCs w:val="24"/>
        </w:rPr>
        <w:t xml:space="preserve"> = 2.2; 61 females).  </w:t>
      </w:r>
    </w:p>
    <w:p w14:paraId="6B3CA657" w14:textId="72F4C57A" w:rsidR="00A05BCF" w:rsidRDefault="008718CC">
      <w:pPr>
        <w:spacing w:after="0" w:line="240" w:lineRule="auto"/>
        <w:ind w:firstLine="720"/>
        <w:contextualSpacing/>
        <w:rPr>
          <w:rFonts w:ascii="Times New Roman" w:hAnsi="Times New Roman" w:cs="Times New Roman"/>
          <w:sz w:val="24"/>
          <w:szCs w:val="24"/>
        </w:rPr>
      </w:pPr>
      <w:r>
        <w:rPr>
          <w:rFonts w:ascii="Times New Roman" w:hAnsi="Times New Roman" w:cs="Times New Roman"/>
          <w:i/>
          <w:iCs/>
          <w:sz w:val="24"/>
          <w:szCs w:val="24"/>
        </w:rPr>
        <w:t xml:space="preserve">Stimuli and Apparatus. </w:t>
      </w:r>
      <w:r>
        <w:rPr>
          <w:rFonts w:ascii="Times New Roman" w:hAnsi="Times New Roman" w:cs="Times New Roman"/>
          <w:sz w:val="24"/>
          <w:szCs w:val="24"/>
        </w:rPr>
        <w:t xml:space="preserve">The visual angle between the two stimuli presented in the cue display subtended a visual angle of 12°.  The images used in the cue display were taken from the International Affective Picture System (IAPS; </w:t>
      </w:r>
      <w:r>
        <w:fldChar w:fldCharType="begin"/>
      </w:r>
      <w:r>
        <w:rPr>
          <w:rFonts w:ascii="Times New Roman" w:hAnsi="Times New Roman" w:cs="Times New Roman"/>
          <w:sz w:val="24"/>
          <w:szCs w:val="24"/>
        </w:rPr>
        <w:instrText>ADDIN ZOTERO_ITEM CSL_CITATION {"citationID":"Z3DRk5vZ","properties":{"formattedCitation":"(Lang, 2008, p. 200)","plainCitation":"(Lang, 2008, p. 200)","dontUpdate":true,"noteIndex":0},"citationItems":[{"id":2528,"uris":["http://zotero.org/users/3283490/items/NXA4YFDY"],"uri":["http://zotero.org/users/3283490/items/NXA4YFDY"],"itemData":{"id":2528,"type":"article-journal","container-title":"Technical Report","note":"publisher: University of Florida","source":"CiNii","title":"International affective picture system (IAPS) : affective ratings of pictures and instruction manual","title-short":"International affective picture system (IAPS)","URL":"https://ci.nii.ac.jp/naid/20001061266/","author":[{"family":"Lang","given":"PJ"}],"accessed":{"date-parts":[["2020",7,15]]},"issued":{"date-parts":[["2008"]]}},"locator":"200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Lang, 2008)</w:t>
      </w:r>
      <w:r>
        <w:rPr>
          <w:rFonts w:ascii="Times New Roman" w:hAnsi="Times New Roman" w:cs="Times New Roman"/>
          <w:sz w:val="24"/>
          <w:szCs w:val="24"/>
        </w:rPr>
        <w:fldChar w:fldCharType="end"/>
      </w:r>
      <w:r>
        <w:rPr>
          <w:rFonts w:ascii="Times New Roman" w:hAnsi="Times New Roman" w:cs="Times New Roman"/>
          <w:sz w:val="24"/>
          <w:szCs w:val="24"/>
        </w:rPr>
        <w:t xml:space="preserve">.  10 threatening and 10 neutral images were used, and the cue display was shown for 500 ms. </w:t>
      </w:r>
    </w:p>
    <w:p w14:paraId="10C6375E" w14:textId="77777777" w:rsidR="00A05BCF" w:rsidRDefault="008718CC" w:rsidP="0065645B">
      <w:pPr>
        <w:pStyle w:val="Heading3"/>
      </w:pPr>
      <w:r>
        <w:t>Results</w:t>
      </w:r>
    </w:p>
    <w:p w14:paraId="1F46CA05" w14:textId="125569C3" w:rsidR="00A05BCF" w:rsidRDefault="00904D93">
      <w:pPr>
        <w:pStyle w:val="BodyText2"/>
        <w:spacing w:line="240" w:lineRule="auto"/>
        <w:ind w:firstLine="720"/>
      </w:pPr>
      <w:r w:rsidRPr="00764A72">
        <w:rPr>
          <w:color w:val="4472C4" w:themeColor="accent1"/>
        </w:rPr>
        <w:t xml:space="preserve">Outlier </w:t>
      </w:r>
      <w:r w:rsidR="008718CC" w:rsidRPr="00764A72">
        <w:rPr>
          <w:color w:val="4472C4" w:themeColor="accent1"/>
        </w:rPr>
        <w:t>RT</w:t>
      </w:r>
      <w:r w:rsidRPr="00764A72">
        <w:rPr>
          <w:color w:val="4472C4" w:themeColor="accent1"/>
        </w:rPr>
        <w:t xml:space="preserve"> trials were removed from all </w:t>
      </w:r>
      <w:r w:rsidR="008718CC" w:rsidRPr="00764A72">
        <w:rPr>
          <w:color w:val="4472C4" w:themeColor="accent1"/>
        </w:rPr>
        <w:t xml:space="preserve">analyses </w:t>
      </w:r>
      <w:r w:rsidR="008718CC">
        <w:t>(0.5% of trials).  To test for carryover effects, we conducted the same 2 × 2 × 2 Generalized Linear Mixed Model on RTs as in Experiment 1.  There was a main effect of current trial type (</w:t>
      </w:r>
      <w:r w:rsidR="008718CC">
        <w:rPr>
          <w:i/>
        </w:rPr>
        <w:t>F</w:t>
      </w:r>
      <w:r w:rsidR="008718CC">
        <w:t xml:space="preserve">(1, 15869) = 16.21, </w:t>
      </w:r>
      <w:r w:rsidR="008718CC">
        <w:rPr>
          <w:i/>
        </w:rPr>
        <w:t xml:space="preserve">p </w:t>
      </w:r>
      <w:r w:rsidR="008718CC">
        <w:t xml:space="preserve">&lt; .001) </w:t>
      </w:r>
      <w:r w:rsidR="008718CC">
        <w:lastRenderedPageBreak/>
        <w:t>where</w:t>
      </w:r>
      <w:r w:rsidR="002F34EA">
        <w:t>in</w:t>
      </w:r>
      <w:r w:rsidR="008718CC">
        <w:t xml:space="preserve"> RTs were faster for incongruent (</w:t>
      </w:r>
      <w:r w:rsidR="008718CC">
        <w:rPr>
          <w:i/>
        </w:rPr>
        <w:t xml:space="preserve">M </w:t>
      </w:r>
      <w:r w:rsidR="008718CC">
        <w:t xml:space="preserve">= 345 , </w:t>
      </w:r>
      <w:r w:rsidR="008718CC">
        <w:rPr>
          <w:i/>
        </w:rPr>
        <w:t xml:space="preserve">SE </w:t>
      </w:r>
      <w:r w:rsidR="008718CC">
        <w:t>= 4.06) relative to congruent trials (</w:t>
      </w:r>
      <w:r w:rsidR="008718CC">
        <w:rPr>
          <w:i/>
        </w:rPr>
        <w:t xml:space="preserve">M </w:t>
      </w:r>
      <w:r w:rsidR="008718CC">
        <w:t xml:space="preserve">= 349, </w:t>
      </w:r>
      <w:r w:rsidR="008718CC">
        <w:rPr>
          <w:i/>
        </w:rPr>
        <w:t xml:space="preserve">SE </w:t>
      </w:r>
      <w:r w:rsidR="008718CC">
        <w:t>= 4.11).  Note that this effect indicates attentional bias to neutral, not threatening images, (see Figure 2C) which also might indica</w:t>
      </w:r>
      <w:r w:rsidR="000478B9">
        <w:t>te</w:t>
      </w:r>
      <w:r w:rsidR="008718CC">
        <w:t xml:space="preserve"> for threatening images. There was also a main effect of target location repetition</w:t>
      </w:r>
      <w:r w:rsidR="002F34EA">
        <w:t>,</w:t>
      </w:r>
      <w:r w:rsidR="008718CC">
        <w:t xml:space="preserve"> </w:t>
      </w:r>
      <w:r w:rsidR="008718CC">
        <w:rPr>
          <w:i/>
        </w:rPr>
        <w:t>F</w:t>
      </w:r>
      <w:r w:rsidR="008718CC">
        <w:t xml:space="preserve">(1, 15869 = 167.53, </w:t>
      </w:r>
      <w:r w:rsidR="008718CC">
        <w:rPr>
          <w:i/>
        </w:rPr>
        <w:t xml:space="preserve">p </w:t>
      </w:r>
      <w:r w:rsidR="008718CC">
        <w:t>&lt; .001)</w:t>
      </w:r>
      <w:r w:rsidR="002F34EA">
        <w:t>,</w:t>
      </w:r>
      <w:r w:rsidR="008718CC">
        <w:t xml:space="preserve"> where</w:t>
      </w:r>
      <w:r w:rsidR="002F34EA">
        <w:t>in</w:t>
      </w:r>
      <w:r w:rsidR="008718CC">
        <w:t xml:space="preserve"> RTs were faster for trials with non-repeated target locations (</w:t>
      </w:r>
      <w:r w:rsidR="008718CC">
        <w:rPr>
          <w:i/>
        </w:rPr>
        <w:t xml:space="preserve">M </w:t>
      </w:r>
      <w:r w:rsidR="008718CC">
        <w:t xml:space="preserve">= 340, </w:t>
      </w:r>
      <w:r w:rsidR="008718CC">
        <w:rPr>
          <w:i/>
        </w:rPr>
        <w:t xml:space="preserve">SE </w:t>
      </w:r>
      <w:r w:rsidR="008718CC">
        <w:t>= 4.00) compared to repeated locations (</w:t>
      </w:r>
      <w:r w:rsidR="008718CC">
        <w:rPr>
          <w:i/>
        </w:rPr>
        <w:t xml:space="preserve">M </w:t>
      </w:r>
      <w:r w:rsidR="008718CC">
        <w:t xml:space="preserve">= 354, </w:t>
      </w:r>
      <w:r w:rsidR="008718CC">
        <w:rPr>
          <w:i/>
        </w:rPr>
        <w:t xml:space="preserve">SE </w:t>
      </w:r>
      <w:r w:rsidR="008718CC">
        <w:t>= 4.17).  However, as in Experiment 1, neither the 2-way interaction between current trial congruency and previous trial congruency (</w:t>
      </w:r>
      <w:r w:rsidR="008718CC">
        <w:rPr>
          <w:i/>
        </w:rPr>
        <w:t>F</w:t>
      </w:r>
      <w:r w:rsidR="008718CC">
        <w:t xml:space="preserve">(1, 15869) = 0.53, </w:t>
      </w:r>
      <w:r w:rsidR="008718CC">
        <w:rPr>
          <w:i/>
        </w:rPr>
        <w:t xml:space="preserve">p </w:t>
      </w:r>
      <w:r w:rsidR="008718CC">
        <w:t xml:space="preserve">= .47) nor </w:t>
      </w:r>
      <w:r w:rsidR="00721DC5">
        <w:t xml:space="preserve">were </w:t>
      </w:r>
      <w:r w:rsidR="008718CC">
        <w:t>the 3-way interaction</w:t>
      </w:r>
      <w:r w:rsidR="00721DC5">
        <w:t>s</w:t>
      </w:r>
      <w:r w:rsidR="008718CC">
        <w:t xml:space="preserve"> (</w:t>
      </w:r>
      <w:r w:rsidR="008718CC">
        <w:rPr>
          <w:i/>
        </w:rPr>
        <w:t>F</w:t>
      </w:r>
      <w:r w:rsidR="008718CC">
        <w:t xml:space="preserve">(1, 15869) = 0.01, </w:t>
      </w:r>
      <w:r w:rsidR="008718CC">
        <w:rPr>
          <w:i/>
        </w:rPr>
        <w:t xml:space="preserve">p </w:t>
      </w:r>
      <w:r w:rsidR="008718CC">
        <w:t>= .92) significant</w:t>
      </w:r>
      <w:r w:rsidR="006444D4">
        <w:t xml:space="preserve"> </w:t>
      </w:r>
      <w:r w:rsidR="006444D4" w:rsidRPr="006444D4">
        <w:rPr>
          <w:color w:val="4472C4" w:themeColor="accent1"/>
        </w:rPr>
        <w:t>(see Figure 2D).</w:t>
      </w:r>
      <w:r w:rsidR="008718CC" w:rsidRPr="006444D4">
        <w:rPr>
          <w:color w:val="4472C4" w:themeColor="accent1"/>
        </w:rPr>
        <w:t xml:space="preserve"> </w:t>
      </w:r>
      <w:r w:rsidR="008718CC">
        <w:t>Thus, no carryover effects were observed. In addition, no other effects were significant. We again followed up the GLMM approach with the same Bayesian analysis</w:t>
      </w:r>
      <w:r w:rsidR="00721DC5">
        <w:t>.</w:t>
      </w:r>
      <w:r w:rsidR="008718CC">
        <w:t xml:space="preserve"> </w:t>
      </w:r>
      <w:r w:rsidR="00721DC5">
        <w:t>F</w:t>
      </w:r>
      <w:r w:rsidR="008718CC">
        <w:t xml:space="preserve">or Experiment 2, we found strong evidence for the null hypothesis (BF01 = 11.27) indicating that the data are 11.27 times more likely under the null hypothesis than under the hypothesized </w:t>
      </w:r>
      <w:r w:rsidR="000478B9">
        <w:t xml:space="preserve">existence </w:t>
      </w:r>
      <w:r w:rsidR="008718CC">
        <w:t xml:space="preserve">of a carryover effect for threat. </w:t>
      </w:r>
    </w:p>
    <w:p w14:paraId="79C0F67B" w14:textId="77777777" w:rsidR="00A05BCF" w:rsidRDefault="008718CC">
      <w:pPr>
        <w:pStyle w:val="BodyText2"/>
        <w:spacing w:line="240" w:lineRule="auto"/>
        <w:jc w:val="center"/>
      </w:pPr>
      <w:r>
        <w:rPr>
          <w:b/>
          <w:bCs/>
        </w:rPr>
        <w:t>[Insert Figure 2 Here]</w:t>
      </w:r>
    </w:p>
    <w:p w14:paraId="7ABCD6A0" w14:textId="7425219D" w:rsidR="00A05BCF" w:rsidRDefault="008718CC" w:rsidP="0065645B">
      <w:pPr>
        <w:pStyle w:val="Heading"/>
      </w:pPr>
      <w:r>
        <w:t>Discussion</w:t>
      </w:r>
    </w:p>
    <w:p w14:paraId="3982A166" w14:textId="71C71595"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two dot-probe experiments, we assessed whether attentional bias to fearful faces (Experiment 1) or threatening images (Experiment 2) would be influenced by carryover effects.  Given that threatening stimuli are especially salient, their potential trial-to-trial influence on attention is quite plausible.  However, the evidence supporting carryover effects for threat has </w:t>
      </w:r>
      <w:r w:rsidR="00922216">
        <w:rPr>
          <w:rFonts w:ascii="Times New Roman" w:hAnsi="Times New Roman" w:cs="Times New Roman"/>
          <w:sz w:val="24"/>
          <w:szCs w:val="24"/>
        </w:rPr>
        <w:t xml:space="preserve">been insufficient to rule out the influence of carryover effects </w:t>
      </w:r>
      <w:r>
        <w:fldChar w:fldCharType="begin"/>
      </w:r>
      <w:r>
        <w:rPr>
          <w:rFonts w:ascii="Times New Roman" w:hAnsi="Times New Roman" w:cs="Times New Roman"/>
          <w:sz w:val="24"/>
          <w:szCs w:val="24"/>
        </w:rPr>
        <w:instrText>ADDIN ZOTERO_ITEM CSL_CITATION {"citationID":"JQXxG8Yz","properties":{"formattedCitation":"(Gladwin &amp; Figner, 2019; Hill &amp; Duval, 2016)","plainCitation":"(Gladwin &amp; Figner, 2019; Hill &amp; Duval, 2016)","noteIndex":0},"citationItems":[{"id":2473,"uris":["http://zotero.org/users/3283490/items/NQGTHVTJ"],"uri":["http://zotero.org/users/3283490/items/NQGTHVTJ"],"itemData":{"id":2473,"type":"article-journal","abstract":"Visual Probe Tasks (VPTs) have been extensively used to measure spatial attentional biases, but as usually analysed, VPTs do not consider trial-to-trial carryover eﬀects of probe location: Does responding to a probe on, e.g., the location of a threat cue aﬀect the bias on the subsequent trial? The aim of the current study was to conﬁrm whether this kind of carryover exists, using a novel task version, the diagonalized VPT, designed to focus on such trial-to-trial interactions. Two versions of the task were performed by a sample of college students. In one version cues were coloured squares; in the other, cues were threat-related and neutral images. Both versions included partially random positive or negative response feedback and varying Cue-Probe Intervals (200 or 600 ms). Carryover eﬀects were found in both versions. Responding to a probe at the location of a cue of a given colour induced an attentional bias on the subsequent trial in the direction of that colour. Responding to a threatrelated cue induced an attentional bias towards threat on the subsequent trial. The results provide evidence that trial-to-trial carryover eﬀects on spatial attentional bias indeed exist. A methodological implication is that previous probe location could be considered in analyses or re-analyses of spatial visual attention tasks.","container-title":"Acta Psychologica","DOI":"10.1016/j.actpsy.2019.04.006","ISSN":"00016918","journalAbbreviation":"Acta Psychologica","language":"en","page":"51-55","source":"DOI.org (Crossref)","title":"Trial-to-trial carryover effects on spatial attentional bias","volume":"196","author":[{"family":"Gladwin","given":"Thomas E."},{"family":"Figner","given":"Bernd"}],"issued":{"date-parts":[["2019",5]]}}},{"id":2514,"uris":["http://zotero.org/users/3283490/items/S3Z4WU7T"],"uri":["http://zotero.org/users/3283490/items/S3Z4WU7T"],"itemData":{"id":2514,"type":"report","language":"en","note":"DOI: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(Gladwin &amp; Figner, 2019; Hill &amp; Duval, 2016)</w:t>
      </w:r>
      <w:r>
        <w:rPr>
          <w:rFonts w:ascii="Times New Roman" w:hAnsi="Times New Roman" w:cs="Times New Roman"/>
          <w:sz w:val="24"/>
          <w:szCs w:val="24"/>
        </w:rPr>
        <w:fldChar w:fldCharType="end"/>
      </w:r>
      <w:r>
        <w:rPr>
          <w:rFonts w:ascii="Times New Roman" w:hAnsi="Times New Roman" w:cs="Times New Roman"/>
          <w:sz w:val="24"/>
          <w:szCs w:val="24"/>
        </w:rPr>
        <w:t>. In Experiment 1, while we did observe a small sized congruency effect for fearful faces, we did not find an interaction between current trial congruency and previous trial congruency. Even for non-repeating target location trials (see Figure 1B), we found no such interaction.</w:t>
      </w:r>
      <w:r w:rsidR="005D521E">
        <w:rPr>
          <w:rFonts w:ascii="Times New Roman" w:hAnsi="Times New Roman" w:cs="Times New Roman"/>
          <w:sz w:val="24"/>
          <w:szCs w:val="24"/>
        </w:rPr>
        <w:t xml:space="preserve">  </w:t>
      </w:r>
      <w:r w:rsidR="00DF76FA">
        <w:rPr>
          <w:rFonts w:ascii="Times New Roman" w:hAnsi="Times New Roman" w:cs="Times New Roman"/>
          <w:color w:val="4472C4" w:themeColor="accent1"/>
          <w:sz w:val="24"/>
          <w:szCs w:val="24"/>
        </w:rPr>
        <w:t xml:space="preserve">There are multiple potential explanations </w:t>
      </w:r>
      <w:r w:rsidR="002F34EA">
        <w:rPr>
          <w:rFonts w:ascii="Times New Roman" w:hAnsi="Times New Roman" w:cs="Times New Roman"/>
          <w:color w:val="4472C4" w:themeColor="accent1"/>
          <w:sz w:val="24"/>
          <w:szCs w:val="24"/>
        </w:rPr>
        <w:t xml:space="preserve">for </w:t>
      </w:r>
      <w:r w:rsidR="00DF76FA">
        <w:rPr>
          <w:rFonts w:ascii="Times New Roman" w:hAnsi="Times New Roman" w:cs="Times New Roman"/>
          <w:color w:val="4472C4" w:themeColor="accent1"/>
          <w:sz w:val="24"/>
          <w:szCs w:val="24"/>
        </w:rPr>
        <w:t xml:space="preserve">faster responses </w:t>
      </w:r>
      <w:r w:rsidR="005D521E">
        <w:rPr>
          <w:rFonts w:ascii="Times New Roman" w:hAnsi="Times New Roman" w:cs="Times New Roman"/>
          <w:color w:val="4472C4" w:themeColor="accent1"/>
          <w:sz w:val="24"/>
          <w:szCs w:val="24"/>
        </w:rPr>
        <w:t>on non-repeating target location trials</w:t>
      </w:r>
      <w:r w:rsidR="00DF76FA">
        <w:rPr>
          <w:rFonts w:ascii="Times New Roman" w:hAnsi="Times New Roman" w:cs="Times New Roman"/>
          <w:color w:val="4472C4" w:themeColor="accent1"/>
          <w:sz w:val="24"/>
          <w:szCs w:val="24"/>
        </w:rPr>
        <w:t xml:space="preserve">.  </w:t>
      </w:r>
      <w:r w:rsidR="005D521E">
        <w:rPr>
          <w:rFonts w:ascii="Times New Roman" w:hAnsi="Times New Roman" w:cs="Times New Roman"/>
          <w:color w:val="4472C4" w:themeColor="accent1"/>
          <w:sz w:val="24"/>
          <w:szCs w:val="24"/>
        </w:rPr>
        <w:t>One is that participants strategically attend away from the emotional cue</w:t>
      </w:r>
      <w:r w:rsidR="004D1880">
        <w:rPr>
          <w:rFonts w:ascii="Times New Roman" w:hAnsi="Times New Roman" w:cs="Times New Roman"/>
          <w:color w:val="4472C4" w:themeColor="accent1"/>
          <w:sz w:val="24"/>
          <w:szCs w:val="24"/>
        </w:rPr>
        <w:t xml:space="preserve">.  </w:t>
      </w:r>
      <w:r w:rsidR="005D521E">
        <w:rPr>
          <w:rFonts w:ascii="Times New Roman" w:hAnsi="Times New Roman" w:cs="Times New Roman"/>
          <w:color w:val="4472C4" w:themeColor="accent1"/>
          <w:sz w:val="24"/>
          <w:szCs w:val="24"/>
        </w:rPr>
        <w:t>Another possibility is that participants avoid previous target locations</w:t>
      </w:r>
      <w:r w:rsidR="002F34EA">
        <w:rPr>
          <w:rFonts w:ascii="Times New Roman" w:hAnsi="Times New Roman" w:cs="Times New Roman"/>
          <w:color w:val="4472C4" w:themeColor="accent1"/>
          <w:sz w:val="24"/>
          <w:szCs w:val="24"/>
        </w:rPr>
        <w:t>,</w:t>
      </w:r>
      <w:r w:rsidR="00120B5D">
        <w:rPr>
          <w:rFonts w:ascii="Times New Roman" w:hAnsi="Times New Roman" w:cs="Times New Roman"/>
          <w:color w:val="4472C4" w:themeColor="accent1"/>
          <w:sz w:val="24"/>
          <w:szCs w:val="24"/>
        </w:rPr>
        <w:t xml:space="preserve"> as explain</w:t>
      </w:r>
      <w:r w:rsidR="002F34EA">
        <w:rPr>
          <w:rFonts w:ascii="Times New Roman" w:hAnsi="Times New Roman" w:cs="Times New Roman"/>
          <w:color w:val="4472C4" w:themeColor="accent1"/>
          <w:sz w:val="24"/>
          <w:szCs w:val="24"/>
        </w:rPr>
        <w:t>ed</w:t>
      </w:r>
      <w:r w:rsidR="00120B5D">
        <w:rPr>
          <w:rFonts w:ascii="Times New Roman" w:hAnsi="Times New Roman" w:cs="Times New Roman"/>
          <w:color w:val="4472C4" w:themeColor="accent1"/>
          <w:sz w:val="24"/>
          <w:szCs w:val="24"/>
        </w:rPr>
        <w:t xml:space="preserve"> by inhibition of </w:t>
      </w:r>
      <w:r w:rsidR="00120B5D" w:rsidRPr="00120B5D">
        <w:rPr>
          <w:rFonts w:ascii="Times New Roman" w:hAnsi="Times New Roman" w:cs="Times New Roman"/>
          <w:color w:val="4472C4" w:themeColor="accent1"/>
          <w:sz w:val="24"/>
          <w:szCs w:val="24"/>
        </w:rPr>
        <w:t xml:space="preserve">return </w:t>
      </w:r>
      <w:r w:rsidR="00120B5D" w:rsidRPr="00120B5D">
        <w:rPr>
          <w:rFonts w:ascii="Times New Roman" w:hAnsi="Times New Roman" w:cs="Times New Roman"/>
          <w:color w:val="4472C4" w:themeColor="accent1"/>
          <w:sz w:val="24"/>
          <w:szCs w:val="24"/>
        </w:rPr>
        <w:fldChar w:fldCharType="begin"/>
      </w:r>
      <w:r w:rsidR="00120B5D" w:rsidRPr="00120B5D">
        <w:rPr>
          <w:rFonts w:ascii="Times New Roman" w:hAnsi="Times New Roman" w:cs="Times New Roman"/>
          <w:color w:val="4472C4" w:themeColor="accent1"/>
          <w:sz w:val="24"/>
          <w:szCs w:val="24"/>
        </w:rPr>
        <w:instrText xml:space="preserve"> ADDIN ZOTERO_ITEM CSL_CITATION {"citationID":"gDnq9k0t","properties":{"formattedCitation":"(Posner et al., 1985)","plainCitation":"(Posner et al., 1985)","noteIndex":0},"citationItems":[{"id":367,"uris":["http://zotero.org/users/3283490/items/EFRFM2SZ"],"uri":["http://zotero.org/users/3283490/items/EFRFM2SZ"],"itemData":{"id":367,"type":"article-journal","abstract":"A goal of neuropsychology is to connect cognitive functions with underlying neural systems. Posner (1984; in press) has proposed a framework for doing so in which elementary mental operations in cognitive models are expressed in terms of component facilitations and inhibitions in the performance of normal persons. Studies of brain-injured patients are used to link these components to underlying neural systems. In the area of spatial attention one such component is the tendency to inhibit orienting towards visual locations which have been previously attended (inhibition of return). Here we report studies in patients and normals which demonstrate the relationship of this component to neural systems which generate saccades. The first experiment showed that midbrain lesions impairing saccade generation produced a concurrent loss of the inhibition of return, whereas cortical components shown to impair facilitatory components did not. The second and third experiments show that the inhibition of return is associated with a bias in eye movements against returning to a previously inhibited location and indicate that inhibition of return occurs even when the eyes are moved to an unchanging visual target. The deficits found in patients and the conditions under which the inhibition is found in normals suggest that inhibition of return may function to favour foveation of information at new locations.","container-title":"Cognitive Neuropsychology","DOI":"10.1080/02643298508252866","ISSN":"0264-3294","issue":"3","page":"211-228","source":"Taylor and Francis+NEJM","title":"Inhibition of return: Neural basis and function","title-short":"Inhibition of return","volume":"2","author":[{"family":"Posner","given":"Michael I."},{"family":"Rafal","given":"Robert D."},{"family":"Choate","given":"Lisa S."},{"family":"Vaughan","given":"Jonathan"}],"issued":{"date-parts":[["1985",8,1]]}}}],"schema":"https://github.com/citation-style-language/schema/raw/master/csl-citation.json"} </w:instrText>
      </w:r>
      <w:r w:rsidR="00120B5D" w:rsidRPr="00120B5D">
        <w:rPr>
          <w:rFonts w:ascii="Times New Roman" w:hAnsi="Times New Roman" w:cs="Times New Roman"/>
          <w:color w:val="4472C4" w:themeColor="accent1"/>
          <w:sz w:val="24"/>
          <w:szCs w:val="24"/>
        </w:rPr>
        <w:fldChar w:fldCharType="separate"/>
      </w:r>
      <w:r w:rsidR="00120B5D" w:rsidRPr="00120B5D">
        <w:rPr>
          <w:rFonts w:ascii="Times New Roman" w:hAnsi="Times New Roman" w:cs="Times New Roman"/>
          <w:color w:val="4472C4" w:themeColor="accent1"/>
          <w:sz w:val="24"/>
        </w:rPr>
        <w:t>(Posner et al., 1985)</w:t>
      </w:r>
      <w:r w:rsidR="00120B5D" w:rsidRPr="00120B5D">
        <w:rPr>
          <w:rFonts w:ascii="Times New Roman" w:hAnsi="Times New Roman" w:cs="Times New Roman"/>
          <w:color w:val="4472C4" w:themeColor="accent1"/>
          <w:sz w:val="24"/>
          <w:szCs w:val="24"/>
        </w:rPr>
        <w:fldChar w:fldCharType="end"/>
      </w:r>
      <w:r w:rsidR="005D521E" w:rsidRPr="00120B5D">
        <w:rPr>
          <w:rFonts w:ascii="Times New Roman" w:hAnsi="Times New Roman" w:cs="Times New Roman"/>
          <w:color w:val="4472C4" w:themeColor="accent1"/>
          <w:sz w:val="24"/>
          <w:szCs w:val="24"/>
        </w:rPr>
        <w:t xml:space="preserve">. </w:t>
      </w:r>
      <w:r w:rsidR="00120B5D" w:rsidRPr="004504A3">
        <w:rPr>
          <w:rFonts w:ascii="Times New Roman" w:hAnsi="Times New Roman" w:cs="Times New Roman"/>
          <w:sz w:val="24"/>
          <w:szCs w:val="24"/>
        </w:rPr>
        <w:t>Lastly, our</w:t>
      </w:r>
      <w:r w:rsidRPr="004504A3">
        <w:rPr>
          <w:rFonts w:ascii="Times New Roman" w:hAnsi="Times New Roman" w:cs="Times New Roman"/>
          <w:sz w:val="24"/>
          <w:szCs w:val="24"/>
        </w:rPr>
        <w:t xml:space="preserve"> </w:t>
      </w:r>
      <w:r>
        <w:rPr>
          <w:rFonts w:ascii="Times New Roman" w:hAnsi="Times New Roman" w:cs="Times New Roman"/>
          <w:sz w:val="24"/>
          <w:szCs w:val="24"/>
        </w:rPr>
        <w:t>non-significant carryover effects for threat were replicated in Experiment 2</w:t>
      </w:r>
      <w:r w:rsidR="00610647">
        <w:rPr>
          <w:rFonts w:ascii="Times New Roman" w:hAnsi="Times New Roman" w:cs="Times New Roman"/>
          <w:sz w:val="24"/>
          <w:szCs w:val="24"/>
        </w:rPr>
        <w:t xml:space="preserve">. </w:t>
      </w:r>
      <w:r>
        <w:rPr>
          <w:rFonts w:ascii="Times New Roman" w:hAnsi="Times New Roman" w:cs="Times New Roman"/>
          <w:sz w:val="24"/>
          <w:szCs w:val="24"/>
        </w:rPr>
        <w:t xml:space="preserve">The results from our Bayesian analyses showed moderate to strong evidence for this null result. </w:t>
      </w:r>
    </w:p>
    <w:p w14:paraId="6376A7D6" w14:textId="31068651"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lack of carryover effects we observed is consistent with </w:t>
      </w:r>
      <w:r w:rsidRPr="006C7BEC">
        <w:rPr>
          <w:rFonts w:ascii="Times New Roman" w:hAnsi="Times New Roman" w:cs="Times New Roman"/>
          <w:color w:val="4472C4" w:themeColor="accent1"/>
          <w:sz w:val="24"/>
          <w:szCs w:val="24"/>
        </w:rPr>
        <w:t>previous</w:t>
      </w:r>
      <w:r w:rsidR="006C7BEC" w:rsidRPr="006C7BEC">
        <w:rPr>
          <w:rFonts w:ascii="Times New Roman" w:hAnsi="Times New Roman" w:cs="Times New Roman"/>
          <w:color w:val="4472C4" w:themeColor="accent1"/>
          <w:sz w:val="24"/>
          <w:szCs w:val="24"/>
        </w:rPr>
        <w:t xml:space="preserve"> statistical findings from other</w:t>
      </w:r>
      <w:r w:rsidRPr="006C7BEC">
        <w:rPr>
          <w:rFonts w:ascii="Times New Roman" w:hAnsi="Times New Roman" w:cs="Times New Roman"/>
          <w:color w:val="4472C4" w:themeColor="accent1"/>
          <w:sz w:val="24"/>
          <w:szCs w:val="24"/>
        </w:rPr>
        <w:t xml:space="preserve"> dot</w:t>
      </w:r>
      <w:r>
        <w:rPr>
          <w:rFonts w:ascii="Times New Roman" w:hAnsi="Times New Roman" w:cs="Times New Roman"/>
          <w:sz w:val="24"/>
          <w:szCs w:val="24"/>
        </w:rPr>
        <w:t xml:space="preserve">-probe studies </w:t>
      </w:r>
      <w:r>
        <w:fldChar w:fldCharType="begin"/>
      </w:r>
      <w:r>
        <w:rPr>
          <w:rFonts w:ascii="Times New Roman" w:hAnsi="Times New Roman" w:cs="Times New Roman"/>
          <w:sz w:val="24"/>
          <w:szCs w:val="24"/>
        </w:rPr>
        <w:instrText>ADDIN ZOTERO_ITEM CSL_CITATION {"citationID":"doobWFh7","properties":{"formattedCitation":"(Gladwin, 2017a; Hill &amp; Duval, 2016)","plainCitation":"(Gladwin, 2017a; Hill &amp; Duval, 2016)","noteIndex":0},"citationItems":[{"id":2511,"uris":["http://zotero.org/users/3283490/items/MX42U9YT"],"uri":["http://zotero.org/users/3283490/items/MX42U9YT"],"itemData":{"id":2511,"type":"article-journal","container-title":"Traumatology","DOI":"10.1037/trm0000121","ISSN":"1085-9373","issue":"4","note":"publisher: US: Educational Publishing Foundation","page":"303","source":"psycnet.apa.org","title":"Carryover effects in spatial attentional bias tasks and their relationship to subclinical PTSD symptoms.","volume":"23","author":[{"family":"Gladwin","given":"Thomas E."}],"issued":{"date-parts":[["2017"]]}}},{"id":2514,"uris":["http://zotero.org/users/3283490/items/S3Z4WU7T"],"uri":["http://zotero.org/users/3283490/items/S3Z4WU7T"],"itemData":{"id":2514,"type":"report","language":"en","note":"DOI: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(Gladwin, 2017a; Hill &amp; Duval, 2016)</w:t>
      </w:r>
      <w:r>
        <w:rPr>
          <w:rFonts w:ascii="Times New Roman" w:hAnsi="Times New Roman" w:cs="Times New Roman"/>
          <w:sz w:val="24"/>
          <w:szCs w:val="24"/>
        </w:rPr>
        <w:fldChar w:fldCharType="end"/>
      </w:r>
      <w:r>
        <w:fldChar w:fldCharType="begin"/>
      </w:r>
      <w:r>
        <w:rPr>
          <w:rFonts w:ascii="Times New Roman" w:hAnsi="Times New Roman" w:cs="Times New Roman"/>
          <w:sz w:val="24"/>
          <w:szCs w:val="24"/>
        </w:rPr>
        <w:instrText>ADDIN ZOTERO_ITEM CSL_CITATION {"citationID":"b2za37ew","properties":{"formattedCitation":"(Hill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w:instrText>
      </w:r>
      <w:r>
        <w:rPr>
          <w:rFonts w:ascii="Times New Roman" w:hAnsi="Times New Roman" w:cs="Times New Roman"/>
          <w:sz w:val="24"/>
          <w:szCs w:val="24"/>
        </w:rPr>
        <w:fldChar w:fldCharType="end"/>
      </w:r>
      <w:r>
        <w:rPr>
          <w:rFonts w:ascii="Times New Roman" w:hAnsi="Times New Roman" w:cs="Times New Roman"/>
          <w:sz w:val="24"/>
          <w:szCs w:val="24"/>
        </w:rPr>
        <w:t>. These previous studies, when combined with the current findings, strongly suggest that attentional bias for threat in dot-probe tasks (congruent</w:t>
      </w:r>
      <w:r w:rsidR="004F5531">
        <w:rPr>
          <w:rFonts w:ascii="Times New Roman" w:hAnsi="Times New Roman" w:cs="Times New Roman"/>
          <w:sz w:val="24"/>
          <w:szCs w:val="24"/>
        </w:rPr>
        <w:t>-</w:t>
      </w:r>
      <w:r>
        <w:rPr>
          <w:rFonts w:ascii="Times New Roman" w:hAnsi="Times New Roman" w:cs="Times New Roman"/>
          <w:sz w:val="24"/>
          <w:szCs w:val="24"/>
        </w:rPr>
        <w:t xml:space="preserve">incongruent) is unlikely to be moderated by carryover effects.  Our study improved upon the limitations of these previous studies: we </w:t>
      </w:r>
      <w:r w:rsidR="00A10FFB">
        <w:rPr>
          <w:rFonts w:ascii="Times New Roman" w:hAnsi="Times New Roman" w:cs="Times New Roman"/>
          <w:sz w:val="24"/>
          <w:szCs w:val="24"/>
        </w:rPr>
        <w:t>used</w:t>
      </w:r>
      <w:r>
        <w:rPr>
          <w:rFonts w:ascii="Times New Roman" w:hAnsi="Times New Roman" w:cs="Times New Roman"/>
          <w:sz w:val="24"/>
          <w:szCs w:val="24"/>
        </w:rPr>
        <w:t xml:space="preserve"> a very large sample in Experiment 1, and did not administer any prior-experimental manipulations (like attentional training in </w:t>
      </w:r>
      <w:r>
        <w:fldChar w:fldCharType="begin"/>
      </w:r>
      <w:r>
        <w:rPr>
          <w:rFonts w:ascii="Times New Roman" w:hAnsi="Times New Roman" w:cs="Times New Roman"/>
          <w:sz w:val="24"/>
          <w:szCs w:val="24"/>
        </w:rPr>
        <w:instrText>ADDIN ZOTERO_ITEM CSL_CITATION {"citationID":"U3fBllM8","properties":{"formattedCitation":"(Hill &amp; Duval, 2016)","plainCitation":"(Hill &amp; Duval, 2016)","dontUpdate":true,"noteIndex":0},"citationItems":[{"id":2514,"uris":["http://zotero.org/users/3283490/items/S3Z4WU7T"],"uri":["http://zotero.org/users/3283490/items/S3Z4WU7T"],"itemData":{"id":2514,"type":"report","language":"en","note":"DOI: 10.22186/jyi.31.3.9-14","publisher":"Journal of Young Investigators","source":"DOI.org (Crossref)","title":"Exploring Carry-Over Effects to Elucidate Attention Bias Modification’s Mixed Results","URL":"https://www.jyi.org/2016-september/2017/2/18/exploring-carry-over-effects-to-elucidate-attention-bias-modifications-mixed-results","author":[{"family":"Hill","given":"Mackenna"},{"family":"Duval","given":"Elizabeth"}],"accessed":{"date-parts":[["2020",7,19]]},"issued":{"date-parts":[["2016",9,1]]}}}],"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Hill &amp; Duval, 2016)</w:t>
      </w:r>
      <w:r>
        <w:rPr>
          <w:rFonts w:ascii="Times New Roman" w:hAnsi="Times New Roman" w:cs="Times New Roman"/>
          <w:sz w:val="24"/>
          <w:szCs w:val="24"/>
        </w:rPr>
        <w:fldChar w:fldCharType="end"/>
      </w:r>
      <w:r>
        <w:rPr>
          <w:rFonts w:ascii="Times New Roman" w:hAnsi="Times New Roman" w:cs="Times New Roman"/>
          <w:sz w:val="24"/>
          <w:szCs w:val="24"/>
        </w:rPr>
        <w:t>.  The current evidence suggests that previous studies and future research involving the dot-probe task do not need to consider whether congruency effects are influenced by carryover effects.</w:t>
      </w:r>
    </w:p>
    <w:p w14:paraId="5A119827" w14:textId="49C418C1"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Carryover effects are analogous to the congruency sequence effect commonly observed in the flanker, Simon, and Stroop tasks </w:t>
      </w:r>
      <w:r>
        <w:fldChar w:fldCharType="begin"/>
      </w:r>
      <w:r>
        <w:rPr>
          <w:rFonts w:ascii="Times New Roman" w:hAnsi="Times New Roman" w:cs="Times New Roman"/>
          <w:sz w:val="24"/>
          <w:szCs w:val="24"/>
        </w:rPr>
        <w:instrText>ADDIN ZOTERO_ITEM CSL_CITATION {"citationID":"U0c7rAYi","properties":{"formattedCitation":"(Duthoo et al., 2014)","plainCitation":"(Duthoo et al., 2014)","noteIndex":0},"citationItems":[{"id":99863,"uris":["http://zotero.org/users/3283490/items/3E98HTXZ"],"uri":["http://zotero.org/users/3283490/items/3E98HTXZ"],"itemData":{"id":99863,"type":"article-journal","container-title":"Frontiers in Psychology","DOI":"10.3389/fpsyg.2014.01001","ISSN":"1664-1078","journalAbbreviation":"Front. Psychol.","source":"DOI.org (Crossref)","title":"The heterogeneous world of congruency sequence effects: an update","title-short":"The heterogeneous world of congruency sequence effects","URL":"http://journal.frontiersin.org/article/10.3389/fpsyg.2014.01001/abstract","volume":"5","author":[{"family":"Duthoo","given":"Wout"},{"family":"Abrahamse","given":"Elger L."},{"family":"Braem","given":"Senne"},{"family":"Boehler","given":"Carsten N."},{"family":"Notebaert","given":"Wim"}],"accessed":{"date-parts":[["2021",5,1]]},"issued":{"date-parts":[["2014",9,9]]}}}],"schema":"https://github.com/citation-style-language/schema/raw/master/csl-citation.json"}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(Duthoo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One difference between the dot-probe task and these </w:t>
      </w:r>
      <w:r w:rsidR="000520D8">
        <w:rPr>
          <w:rFonts w:ascii="Times New Roman" w:hAnsi="Times New Roman" w:cs="Times New Roman"/>
          <w:sz w:val="24"/>
          <w:szCs w:val="24"/>
        </w:rPr>
        <w:t>other tasks i</w:t>
      </w:r>
      <w:r>
        <w:rPr>
          <w:rFonts w:ascii="Times New Roman" w:hAnsi="Times New Roman" w:cs="Times New Roman"/>
          <w:sz w:val="24"/>
          <w:szCs w:val="24"/>
        </w:rPr>
        <w:t xml:space="preserve">s that the distractor stimulus does not directly conflict with the target. For example, in the Stroop task, the font color of the word stimulus can be incongruent with the meaning of the word, which creates conflict when the goal is to indicate the word color. Similarly, in the arrow flanker task, </w:t>
      </w:r>
      <w:r w:rsidR="000C456C">
        <w:rPr>
          <w:rFonts w:ascii="Times New Roman" w:hAnsi="Times New Roman" w:cs="Times New Roman"/>
          <w:sz w:val="24"/>
          <w:szCs w:val="24"/>
        </w:rPr>
        <w:t>c</w:t>
      </w:r>
      <w:r w:rsidR="00766257">
        <w:rPr>
          <w:rFonts w:ascii="Times New Roman" w:hAnsi="Times New Roman" w:cs="Times New Roman"/>
          <w:color w:val="4472C4" w:themeColor="accent1"/>
          <w:sz w:val="24"/>
          <w:szCs w:val="24"/>
        </w:rPr>
        <w:t xml:space="preserve">onflict is created on </w:t>
      </w:r>
      <w:r w:rsidR="00177FE1" w:rsidRPr="00177FE1">
        <w:rPr>
          <w:rFonts w:ascii="Times New Roman" w:hAnsi="Times New Roman" w:cs="Times New Roman"/>
          <w:color w:val="4472C4" w:themeColor="accent1"/>
          <w:sz w:val="24"/>
          <w:szCs w:val="24"/>
        </w:rPr>
        <w:t>incongruent trials</w:t>
      </w:r>
      <w:r w:rsidR="00766257">
        <w:rPr>
          <w:rFonts w:ascii="Times New Roman" w:hAnsi="Times New Roman" w:cs="Times New Roman"/>
          <w:color w:val="4472C4" w:themeColor="accent1"/>
          <w:sz w:val="24"/>
          <w:szCs w:val="24"/>
        </w:rPr>
        <w:t xml:space="preserve">; </w:t>
      </w:r>
      <w:r w:rsidR="00177FE1" w:rsidRPr="00177FE1">
        <w:rPr>
          <w:rFonts w:ascii="Times New Roman" w:hAnsi="Times New Roman" w:cs="Times New Roman"/>
          <w:color w:val="4472C4" w:themeColor="accent1"/>
          <w:sz w:val="24"/>
          <w:szCs w:val="24"/>
        </w:rPr>
        <w:t xml:space="preserve">the two arrows to </w:t>
      </w:r>
      <w:r w:rsidR="00177FE1" w:rsidRPr="00177FE1">
        <w:rPr>
          <w:rFonts w:ascii="Times New Roman" w:hAnsi="Times New Roman" w:cs="Times New Roman"/>
          <w:color w:val="4472C4" w:themeColor="accent1"/>
          <w:sz w:val="24"/>
          <w:szCs w:val="24"/>
        </w:rPr>
        <w:lastRenderedPageBreak/>
        <w:t xml:space="preserve">the left and two to the right point in the direction </w:t>
      </w:r>
      <w:r w:rsidR="004F5531">
        <w:rPr>
          <w:rFonts w:ascii="Times New Roman" w:hAnsi="Times New Roman" w:cs="Times New Roman"/>
          <w:color w:val="4472C4" w:themeColor="accent1"/>
          <w:sz w:val="24"/>
          <w:szCs w:val="24"/>
        </w:rPr>
        <w:t xml:space="preserve">opposite to </w:t>
      </w:r>
      <w:r w:rsidR="00177FE1">
        <w:rPr>
          <w:rFonts w:ascii="Times New Roman" w:hAnsi="Times New Roman" w:cs="Times New Roman"/>
          <w:color w:val="4472C4" w:themeColor="accent1"/>
          <w:sz w:val="24"/>
          <w:szCs w:val="24"/>
        </w:rPr>
        <w:t xml:space="preserve">the </w:t>
      </w:r>
      <w:r w:rsidR="00177FE1" w:rsidRPr="00177FE1">
        <w:rPr>
          <w:rFonts w:ascii="Times New Roman" w:hAnsi="Times New Roman" w:cs="Times New Roman"/>
          <w:color w:val="4472C4" w:themeColor="accent1"/>
          <w:sz w:val="24"/>
          <w:szCs w:val="24"/>
        </w:rPr>
        <w:t>direction of the center</w:t>
      </w:r>
      <w:r w:rsidR="00766257">
        <w:rPr>
          <w:rFonts w:ascii="Times New Roman" w:hAnsi="Times New Roman" w:cs="Times New Roman"/>
          <w:color w:val="4472C4" w:themeColor="accent1"/>
          <w:sz w:val="24"/>
          <w:szCs w:val="24"/>
        </w:rPr>
        <w:t xml:space="preserve"> target </w:t>
      </w:r>
      <w:r w:rsidR="00177FE1" w:rsidRPr="00177FE1">
        <w:rPr>
          <w:rFonts w:ascii="Times New Roman" w:hAnsi="Times New Roman" w:cs="Times New Roman"/>
          <w:color w:val="4472C4" w:themeColor="accent1"/>
          <w:sz w:val="24"/>
          <w:szCs w:val="24"/>
        </w:rPr>
        <w:t>arrow, like thi</w:t>
      </w:r>
      <w:r w:rsidR="00177FE1" w:rsidRPr="008F59AF">
        <w:rPr>
          <w:rFonts w:ascii="Times New Roman" w:hAnsi="Times New Roman" w:cs="Times New Roman"/>
          <w:color w:val="4472C4" w:themeColor="accent1"/>
          <w:sz w:val="24"/>
          <w:szCs w:val="24"/>
        </w:rPr>
        <w:t>s:</w:t>
      </w:r>
      <w:r w:rsidRPr="008F59AF">
        <w:rPr>
          <w:rFonts w:ascii="Times New Roman" w:hAnsi="Times New Roman" w:cs="Times New Roman"/>
          <w:color w:val="4472C4" w:themeColor="accent1"/>
          <w:sz w:val="24"/>
          <w:szCs w:val="24"/>
        </w:rPr>
        <w:t xml:space="preserve"> &lt; &lt; &gt; &lt; &lt;</w:t>
      </w:r>
      <w:r w:rsidR="00766257" w:rsidRPr="008F59AF">
        <w:rPr>
          <w:rFonts w:ascii="Times New Roman" w:hAnsi="Times New Roman" w:cs="Times New Roman"/>
          <w:color w:val="4472C4" w:themeColor="accent1"/>
          <w:sz w:val="24"/>
          <w:szCs w:val="24"/>
        </w:rPr>
        <w:t>.</w:t>
      </w:r>
      <w:r w:rsidR="00766257">
        <w:rPr>
          <w:rFonts w:ascii="Times New Roman" w:hAnsi="Times New Roman" w:cs="Times New Roman"/>
          <w:color w:val="4472C4" w:themeColor="accent1"/>
          <w:sz w:val="24"/>
          <w:szCs w:val="24"/>
        </w:rPr>
        <w:t xml:space="preserve"> </w:t>
      </w:r>
      <w:r w:rsidR="00177FE1" w:rsidRPr="00177FE1">
        <w:rPr>
          <w:rFonts w:ascii="Times New Roman" w:hAnsi="Times New Roman" w:cs="Times New Roman"/>
          <w:color w:val="4472C4" w:themeColor="accent1"/>
          <w:sz w:val="24"/>
          <w:szCs w:val="24"/>
        </w:rPr>
        <w:t>On congruent trials,</w:t>
      </w:r>
      <w:r w:rsidR="00177FE1">
        <w:rPr>
          <w:rFonts w:ascii="Times New Roman" w:hAnsi="Times New Roman" w:cs="Times New Roman"/>
          <w:color w:val="4472C4" w:themeColor="accent1"/>
          <w:sz w:val="24"/>
          <w:szCs w:val="24"/>
        </w:rPr>
        <w:t xml:space="preserve"> all five </w:t>
      </w:r>
      <w:r w:rsidR="000520D8">
        <w:rPr>
          <w:rFonts w:ascii="Times New Roman" w:hAnsi="Times New Roman" w:cs="Times New Roman"/>
          <w:color w:val="4472C4" w:themeColor="accent1"/>
          <w:sz w:val="24"/>
          <w:szCs w:val="24"/>
        </w:rPr>
        <w:t xml:space="preserve">of the </w:t>
      </w:r>
      <w:r w:rsidR="00177FE1">
        <w:rPr>
          <w:rFonts w:ascii="Times New Roman" w:hAnsi="Times New Roman" w:cs="Times New Roman"/>
          <w:color w:val="4472C4" w:themeColor="accent1"/>
          <w:sz w:val="24"/>
          <w:szCs w:val="24"/>
        </w:rPr>
        <w:t xml:space="preserve">arrows point in the same direction. </w:t>
      </w:r>
      <w:r w:rsidRPr="00F25A01">
        <w:rPr>
          <w:rFonts w:ascii="Times New Roman" w:hAnsi="Times New Roman" w:cs="Times New Roman"/>
          <w:color w:val="4472C4" w:themeColor="accent1"/>
          <w:sz w:val="24"/>
          <w:szCs w:val="24"/>
        </w:rPr>
        <w:t>However, in the dot-probe task, the target</w:t>
      </w:r>
      <w:r w:rsidR="00F25A01" w:rsidRPr="00F25A01">
        <w:rPr>
          <w:rFonts w:ascii="Times New Roman" w:hAnsi="Times New Roman" w:cs="Times New Roman"/>
          <w:color w:val="4472C4" w:themeColor="accent1"/>
          <w:sz w:val="24"/>
          <w:szCs w:val="24"/>
        </w:rPr>
        <w:t xml:space="preserve"> does not co-occur with the conflicting cue (they are shown in different displays)</w:t>
      </w:r>
      <w:r w:rsidR="004F5531">
        <w:rPr>
          <w:rFonts w:ascii="Times New Roman" w:hAnsi="Times New Roman" w:cs="Times New Roman"/>
          <w:color w:val="4472C4" w:themeColor="accent1"/>
          <w:sz w:val="24"/>
          <w:szCs w:val="24"/>
        </w:rPr>
        <w:t>;</w:t>
      </w:r>
      <w:r w:rsidR="00F25A01" w:rsidRPr="00F25A01">
        <w:rPr>
          <w:rFonts w:ascii="Times New Roman" w:hAnsi="Times New Roman" w:cs="Times New Roman"/>
          <w:color w:val="4472C4" w:themeColor="accent1"/>
          <w:sz w:val="24"/>
          <w:szCs w:val="24"/>
        </w:rPr>
        <w:t xml:space="preserve"> they are separated in time, and they are visually distinct categories of stimuli because the cue is a face, and the target is simply a single dot.  </w:t>
      </w:r>
      <w:r>
        <w:rPr>
          <w:rFonts w:ascii="Times New Roman" w:hAnsi="Times New Roman" w:cs="Times New Roman"/>
          <w:sz w:val="24"/>
          <w:szCs w:val="24"/>
        </w:rPr>
        <w:t xml:space="preserve">Therefore, current trial congruency effects in the dot-probe task may stem from relatively low stimulus conflict and therefore </w:t>
      </w:r>
      <w:r w:rsidR="000478B9">
        <w:rPr>
          <w:rFonts w:ascii="Times New Roman" w:hAnsi="Times New Roman" w:cs="Times New Roman"/>
          <w:sz w:val="24"/>
          <w:szCs w:val="24"/>
        </w:rPr>
        <w:t xml:space="preserve">be </w:t>
      </w:r>
      <w:r>
        <w:rPr>
          <w:rFonts w:ascii="Times New Roman" w:hAnsi="Times New Roman" w:cs="Times New Roman"/>
          <w:sz w:val="24"/>
          <w:szCs w:val="24"/>
        </w:rPr>
        <w:t xml:space="preserve">unaffected by previous trial congruency.  In </w:t>
      </w:r>
      <w:r w:rsidR="004A4A16">
        <w:rPr>
          <w:rFonts w:ascii="Times New Roman" w:hAnsi="Times New Roman" w:cs="Times New Roman"/>
          <w:sz w:val="24"/>
          <w:szCs w:val="24"/>
        </w:rPr>
        <w:t xml:space="preserve">sum, </w:t>
      </w:r>
      <w:r>
        <w:rPr>
          <w:rFonts w:ascii="Times New Roman" w:hAnsi="Times New Roman" w:cs="Times New Roman"/>
          <w:sz w:val="24"/>
          <w:szCs w:val="24"/>
        </w:rPr>
        <w:t>carryover effects, or congruency sequence effects, may only arise for specific types of stimul</w:t>
      </w:r>
      <w:r w:rsidR="004A4A16">
        <w:rPr>
          <w:rFonts w:ascii="Times New Roman" w:hAnsi="Times New Roman" w:cs="Times New Roman"/>
          <w:sz w:val="24"/>
          <w:szCs w:val="24"/>
        </w:rPr>
        <w:t xml:space="preserve">us </w:t>
      </w:r>
      <w:r>
        <w:rPr>
          <w:rFonts w:ascii="Times New Roman" w:hAnsi="Times New Roman" w:cs="Times New Roman"/>
          <w:sz w:val="24"/>
          <w:szCs w:val="24"/>
        </w:rPr>
        <w:t>conflict.</w:t>
      </w:r>
    </w:p>
    <w:p w14:paraId="70070115" w14:textId="657297CB"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There are some notable procedural differences between the standard dot-probe task (as used here) and other studies that used a similar spatial cueing task but did observe carryover effects.  For example,</w:t>
      </w:r>
      <w:r w:rsidR="00302C93">
        <w:rPr>
          <w:rFonts w:ascii="Times New Roman" w:hAnsi="Times New Roman" w:cs="Times New Roman"/>
          <w:sz w:val="24"/>
          <w:szCs w:val="24"/>
        </w:rPr>
        <w:t xml:space="preserve"> in the unique study design by</w:t>
      </w:r>
      <w:r>
        <w:rPr>
          <w:rFonts w:ascii="Times New Roman" w:hAnsi="Times New Roman" w:cs="Times New Roman"/>
          <w:sz w:val="24"/>
          <w:szCs w:val="24"/>
        </w:rPr>
        <w:t xml:space="preserve"> Gladwin et al. (2019, 2020)</w:t>
      </w:r>
      <w:r w:rsidR="00302C93">
        <w:rPr>
          <w:rFonts w:ascii="Times New Roman" w:hAnsi="Times New Roman" w:cs="Times New Roman"/>
          <w:sz w:val="24"/>
          <w:szCs w:val="24"/>
        </w:rPr>
        <w:t>, they</w:t>
      </w:r>
      <w:r>
        <w:rPr>
          <w:rFonts w:ascii="Times New Roman" w:hAnsi="Times New Roman" w:cs="Times New Roman"/>
          <w:sz w:val="24"/>
          <w:szCs w:val="24"/>
        </w:rPr>
        <w:t xml:space="preserve"> presented their cues until the participants made a response, whereas we only presented our cues for 100 ms (Experiment 1) or 500 ms (Experiment 2).  Presenting cues until a response is made increases the possibility of attentional dwelling or delayed disengagement from the cue, as opposed to the initial orienting of attention towards the cue </w:t>
      </w:r>
      <w:r>
        <w:fldChar w:fldCharType="begin"/>
      </w:r>
      <w:r>
        <w:rPr>
          <w:rFonts w:ascii="Times New Roman" w:hAnsi="Times New Roman" w:cs="Times New Roman"/>
          <w:sz w:val="24"/>
          <w:szCs w:val="24"/>
        </w:rPr>
        <w:instrText>ADDIN ZOTERO_ITEM CSL_CITATION {"citationID":"7fB7wA58","properties":{"formattedCitation":"(Fox et al., 2001)","plainCitation":"(Fox et al., 2001)","noteIndex":0},"citationItems":[{"id":92657,"uris":["http://zotero.org/users/3283490/items/YP62XMLK"],"uri":["http://zotero.org/users/3283490/items/YP62XMLK"],"itemData":{"id":92657,"type":"article-journal","container-title":"Journal of Experimental Psychology: General","DOI":"10.1037/0096-3445.130.4.681","ISSN":"1939-2222, 0096-3445","issue":"4","journalAbbreviation":"Journal of Experimental Psychology: General","language":"en","page":"681-700","source":"DOI.org (Crossref)","title":"Do threatening stimuli draw or hold visual attention in subclinical anxiety?","volume":"130","author":[{"family":"Fox","given":"Elaine"},{"family":"Russo","given":"Riccardo"},{"family":"Bowles","given":"Robert"},{"family":"Dutton","given":"Kevin"}],"issued":{"date-parts":[["2001"]]}}}],"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(Fox et al., 2001)</w:t>
      </w:r>
      <w:r>
        <w:rPr>
          <w:rFonts w:ascii="Times New Roman" w:hAnsi="Times New Roman" w:cs="Times New Roman"/>
          <w:sz w:val="24"/>
          <w:szCs w:val="24"/>
        </w:rPr>
        <w:fldChar w:fldCharType="end"/>
      </w:r>
      <w:r>
        <w:rPr>
          <w:rFonts w:ascii="Times New Roman" w:hAnsi="Times New Roman" w:cs="Times New Roman"/>
          <w:sz w:val="24"/>
          <w:szCs w:val="24"/>
        </w:rPr>
        <w:t xml:space="preserve">.  Another key difference is that Gladwin et al. (2019, 2020) presented a distractor (non-target object) in their search display, whereas in the classic dot-probe task, the target appears alone </w:t>
      </w:r>
      <w:r>
        <w:fldChar w:fldCharType="begin"/>
      </w:r>
      <w:r>
        <w:rPr>
          <w:rFonts w:ascii="Times New Roman" w:hAnsi="Times New Roman" w:cs="Times New Roman"/>
          <w:sz w:val="24"/>
          <w:szCs w:val="24"/>
        </w:rPr>
        <w:instrText>ADDIN ZOTERO_ITEM CSL_CITATION {"citationID":"iP4HrdTI","properties":{"formattedCitation":"(Mogg &amp; Bradley, 1998)","plainCitation":"(Mogg &amp; Bradley, 1998)","noteIndex":0},"citationItems":[{"id":1172,"uris":["http://zotero.org/users/3283490/items/RUZXRUM5"],"uri":["http://zotero.org/users/3283490/items/RUZXRUM5"],"itemData":{"id":1172,"type":"article-journal","abstract":"Evidence of preattentive and attentional biases in anxiety is evaluated from a cognitive-motivational perspective. According to this analysis, vulnerability to anxiety stems mainly from a lower threshold for appraising threat, rather than a bias in the direction of attention deployment. Thus, relatively innocuous stimuli are evaluated as having higher subjective threat value by high than low trait anxious individuals, and it is further assumed that everyone orients to stimuli that are judged to be significantly threatening. This account is contrasted with other recent cognitive models of anxiety, and implications for the etiology, maintenance and treatment of anxiety disorders are discussed.","container-title":"Behaviour Research and Therapy","DOI":"10.1016/S0005-7967(98)00063-1","ISSN":"0005-7967","issue":"9","journalAbbreviation":"Behaviour Research and Therapy","page":"809-848","source":"ScienceDirect","title":"A cognitive-motivational analysis of anxiety","volume":"36","author":[{"family":"Mogg","given":"Karin"},{"family":"Bradley","given":"Brendan P."}],"issued":{"date-parts":[["1998",9,1]]}}}],"schema":"https://github.com/citation-style-language/schema/raw/master/csl-citation.json"}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(Mogg &amp; Bradley, 1998)</w:t>
      </w:r>
      <w:r>
        <w:rPr>
          <w:rFonts w:ascii="Times New Roman" w:hAnsi="Times New Roman" w:cs="Times New Roman"/>
          <w:sz w:val="24"/>
          <w:szCs w:val="24"/>
        </w:rPr>
        <w:fldChar w:fldCharType="end"/>
      </w:r>
      <w:r>
        <w:rPr>
          <w:rFonts w:ascii="Times New Roman" w:hAnsi="Times New Roman" w:cs="Times New Roman"/>
          <w:sz w:val="24"/>
          <w:szCs w:val="24"/>
        </w:rPr>
        <w:t>.  Inhibition of the cue that appears in the previous non-target location might explain carryover effects for the cue (Gladwin et al., 2020). The presence of the non-target distractor might facilitate such inhibition, thereby creating a carryover effect (Gillich</w:t>
      </w:r>
      <w:r w:rsidR="00721DC5">
        <w:rPr>
          <w:rFonts w:ascii="Times New Roman" w:hAnsi="Times New Roman" w:cs="Times New Roman"/>
          <w:sz w:val="24"/>
          <w:szCs w:val="24"/>
        </w:rPr>
        <w:t xml:space="preserve"> et al., </w:t>
      </w:r>
      <w:r>
        <w:rPr>
          <w:rFonts w:ascii="Times New Roman" w:hAnsi="Times New Roman" w:cs="Times New Roman"/>
          <w:sz w:val="24"/>
          <w:szCs w:val="24"/>
        </w:rPr>
        <w:t xml:space="preserve">2019; van Moorselaar &amp; Slagter, 2019). Future studies on carryover effects should carefully consider their task design procedure.  </w:t>
      </w:r>
    </w:p>
    <w:p w14:paraId="57C17891" w14:textId="77777777" w:rsidR="00A05BCF" w:rsidRDefault="008718CC" w:rsidP="0065645B">
      <w:pPr>
        <w:pStyle w:val="Heading"/>
      </w:pPr>
      <w:r>
        <w:t>Conclusion</w:t>
      </w:r>
    </w:p>
    <w:p w14:paraId="343B28EB" w14:textId="78363C9B" w:rsidR="00A05BCF" w:rsidRDefault="008718CC">
      <w:pPr>
        <w:spacing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Researchers should carefully select their study design when examining congruency effects.  </w:t>
      </w:r>
      <w:r w:rsidR="004F5531">
        <w:rPr>
          <w:rFonts w:ascii="Times New Roman" w:hAnsi="Times New Roman" w:cs="Times New Roman"/>
          <w:sz w:val="24"/>
          <w:szCs w:val="24"/>
        </w:rPr>
        <w:t xml:space="preserve">As </w:t>
      </w:r>
      <w:r>
        <w:rPr>
          <w:rFonts w:ascii="Times New Roman" w:hAnsi="Times New Roman" w:cs="Times New Roman"/>
          <w:sz w:val="24"/>
          <w:szCs w:val="24"/>
        </w:rPr>
        <w:t xml:space="preserve">for studies involving the dot-probe task, </w:t>
      </w:r>
      <w:r w:rsidR="004F5531">
        <w:rPr>
          <w:rFonts w:ascii="Times New Roman" w:hAnsi="Times New Roman" w:cs="Times New Roman"/>
          <w:sz w:val="24"/>
          <w:szCs w:val="24"/>
        </w:rPr>
        <w:t xml:space="preserve">however, </w:t>
      </w:r>
      <w:r>
        <w:rPr>
          <w:rFonts w:ascii="Times New Roman" w:hAnsi="Times New Roman" w:cs="Times New Roman"/>
          <w:sz w:val="24"/>
          <w:szCs w:val="24"/>
        </w:rPr>
        <w:t xml:space="preserve">carryover effects for threat do not appear to be a concern.  The highly controlled and simple design of the dot-probe task adequately controls for sources of variance such as carryover effects.  While threatening cues may bias attention to a greater extent than </w:t>
      </w:r>
      <w:r w:rsidR="000478B9">
        <w:rPr>
          <w:rFonts w:ascii="Times New Roman" w:hAnsi="Times New Roman" w:cs="Times New Roman"/>
          <w:sz w:val="24"/>
          <w:szCs w:val="24"/>
        </w:rPr>
        <w:t>neutral</w:t>
      </w:r>
      <w:r>
        <w:rPr>
          <w:rFonts w:ascii="Times New Roman" w:hAnsi="Times New Roman" w:cs="Times New Roman"/>
          <w:sz w:val="24"/>
          <w:szCs w:val="24"/>
        </w:rPr>
        <w:t xml:space="preserve"> cues, their residual influence on attention is limited when assessed with the dot-probe task.  </w:t>
      </w:r>
    </w:p>
    <w:p w14:paraId="5C9D9BD5" w14:textId="7A3D35D1" w:rsidR="00A05BCF" w:rsidRDefault="008718CC">
      <w:pPr>
        <w:spacing w:line="240" w:lineRule="auto"/>
        <w:contextualSpacing/>
        <w:rPr>
          <w:rFonts w:ascii="Times New Roman" w:hAnsi="Times New Roman" w:cs="Times New Roman"/>
          <w:sz w:val="24"/>
          <w:szCs w:val="24"/>
        </w:rPr>
      </w:pPr>
      <w:r w:rsidRPr="0065645B">
        <w:rPr>
          <w:rStyle w:val="Heading3Char"/>
        </w:rPr>
        <w:t>Data Availability Statement:</w:t>
      </w:r>
      <w:r>
        <w:rPr>
          <w:rFonts w:ascii="Times New Roman" w:hAnsi="Times New Roman" w:cs="Times New Roman"/>
          <w:i/>
          <w:iCs/>
          <w:sz w:val="24"/>
          <w:szCs w:val="24"/>
        </w:rPr>
        <w:t xml:space="preserve"> </w:t>
      </w:r>
      <w:r>
        <w:rPr>
          <w:rFonts w:ascii="Times New Roman" w:hAnsi="Times New Roman" w:cs="Times New Roman"/>
          <w:sz w:val="24"/>
          <w:szCs w:val="24"/>
        </w:rPr>
        <w:t>Datasets are available here:</w:t>
      </w:r>
      <w:r>
        <w:t xml:space="preserve"> </w:t>
      </w:r>
      <w:hyperlink r:id="rId10" w:history="1">
        <w:r w:rsidR="0039230F" w:rsidRPr="00305D87">
          <w:rPr>
            <w:rStyle w:val="Hyperlink"/>
            <w:rFonts w:ascii="Times New Roman" w:hAnsi="Times New Roman" w:cs="Times New Roman"/>
            <w:sz w:val="24"/>
            <w:szCs w:val="24"/>
          </w:rPr>
          <w:t>https://osf.io/7qhsj/?view_only=07b52294c1b647829644a833fc3d4883</w:t>
        </w:r>
      </w:hyperlink>
      <w:r w:rsidR="0039230F">
        <w:rPr>
          <w:rFonts w:ascii="Times New Roman" w:hAnsi="Times New Roman" w:cs="Times New Roman"/>
          <w:sz w:val="24"/>
          <w:szCs w:val="24"/>
        </w:rPr>
        <w:t xml:space="preserve"> </w:t>
      </w:r>
    </w:p>
    <w:p w14:paraId="257019C4" w14:textId="780638C0" w:rsidR="00A05BCF" w:rsidRDefault="00A05BCF">
      <w:pPr>
        <w:spacing w:line="240" w:lineRule="auto"/>
        <w:contextualSpacing/>
        <w:rPr>
          <w:rFonts w:ascii="Times New Roman" w:hAnsi="Times New Roman" w:cs="Times New Roman"/>
          <w:sz w:val="24"/>
          <w:szCs w:val="24"/>
        </w:rPr>
      </w:pPr>
    </w:p>
    <w:p w14:paraId="58993072" w14:textId="3729533B" w:rsidR="00A05BCF" w:rsidRDefault="001A496C">
      <w:pPr>
        <w:spacing w:line="240" w:lineRule="auto"/>
        <w:contextualSpacing/>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3049BE26" wp14:editId="085C112E">
            <wp:simplePos x="0" y="0"/>
            <wp:positionH relativeFrom="column">
              <wp:posOffset>3752997</wp:posOffset>
            </wp:positionH>
            <wp:positionV relativeFrom="paragraph">
              <wp:posOffset>1433195</wp:posOffset>
            </wp:positionV>
            <wp:extent cx="244475" cy="269240"/>
            <wp:effectExtent l="0" t="0" r="3175"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235" t="11583" r="32647" b="82904"/>
                    <a:stretch/>
                  </pic:blipFill>
                  <pic:spPr bwMode="auto">
                    <a:xfrm>
                      <a:off x="0" y="0"/>
                      <a:ext cx="244475" cy="2692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0288" behindDoc="0" locked="0" layoutInCell="1" allowOverlap="1" wp14:anchorId="12BC0C44" wp14:editId="724B89EB">
            <wp:simplePos x="0" y="0"/>
            <wp:positionH relativeFrom="column">
              <wp:posOffset>4063365</wp:posOffset>
            </wp:positionH>
            <wp:positionV relativeFrom="paragraph">
              <wp:posOffset>1432661</wp:posOffset>
            </wp:positionV>
            <wp:extent cx="244757" cy="269475"/>
            <wp:effectExtent l="0" t="0" r="3175"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809" t="11955" r="39073" b="82532"/>
                    <a:stretch/>
                  </pic:blipFill>
                  <pic:spPr bwMode="auto">
                    <a:xfrm>
                      <a:off x="0" y="0"/>
                      <a:ext cx="244757" cy="2694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0" behindDoc="0" locked="0" layoutInCell="1" allowOverlap="1" wp14:anchorId="3514C6CB" wp14:editId="476ACCBC">
            <wp:simplePos x="0" y="0"/>
            <wp:positionH relativeFrom="column">
              <wp:posOffset>3429635</wp:posOffset>
            </wp:positionH>
            <wp:positionV relativeFrom="paragraph">
              <wp:posOffset>574923</wp:posOffset>
            </wp:positionV>
            <wp:extent cx="244757" cy="269475"/>
            <wp:effectExtent l="0" t="0" r="3175"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809" t="11955" r="39073" b="82532"/>
                    <a:stretch/>
                  </pic:blipFill>
                  <pic:spPr bwMode="auto">
                    <a:xfrm>
                      <a:off x="0" y="0"/>
                      <a:ext cx="244757" cy="269475"/>
                    </a:xfrm>
                    <a:prstGeom prst="rect">
                      <a:avLst/>
                    </a:prstGeom>
                    <a:ln>
                      <a:noFill/>
                    </a:ln>
                    <a:extLst>
                      <a:ext uri="{53640926-AAD7-44D8-BBD7-CCE9431645EC}">
                        <a14:shadowObscured xmlns:a14="http://schemas.microsoft.com/office/drawing/2010/main"/>
                      </a:ext>
                    </a:extLst>
                  </pic:spPr>
                </pic:pic>
              </a:graphicData>
            </a:graphic>
          </wp:anchor>
        </w:drawing>
      </w:r>
      <w:r w:rsidR="00E4663F">
        <w:rPr>
          <w:noProof/>
        </w:rPr>
        <w:drawing>
          <wp:anchor distT="0" distB="0" distL="114300" distR="114300" simplePos="0" relativeHeight="251662336" behindDoc="0" locked="0" layoutInCell="1" allowOverlap="1" wp14:anchorId="1140A784" wp14:editId="464BFE1D">
            <wp:simplePos x="0" y="0"/>
            <wp:positionH relativeFrom="column">
              <wp:posOffset>3737088</wp:posOffset>
            </wp:positionH>
            <wp:positionV relativeFrom="paragraph">
              <wp:posOffset>564583</wp:posOffset>
            </wp:positionV>
            <wp:extent cx="244757" cy="269475"/>
            <wp:effectExtent l="0" t="0" r="3175" b="0"/>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35" t="11583" r="32647" b="82904"/>
                    <a:stretch/>
                  </pic:blipFill>
                  <pic:spPr bwMode="auto">
                    <a:xfrm>
                      <a:off x="0" y="0"/>
                      <a:ext cx="244757" cy="269475"/>
                    </a:xfrm>
                    <a:prstGeom prst="rect">
                      <a:avLst/>
                    </a:prstGeom>
                    <a:ln>
                      <a:noFill/>
                    </a:ln>
                    <a:extLst>
                      <a:ext uri="{53640926-AAD7-44D8-BBD7-CCE9431645EC}">
                        <a14:shadowObscured xmlns:a14="http://schemas.microsoft.com/office/drawing/2010/main"/>
                      </a:ext>
                    </a:extLst>
                  </pic:spPr>
                </pic:pic>
              </a:graphicData>
            </a:graphic>
          </wp:anchor>
        </w:drawing>
      </w:r>
      <w:r w:rsidR="008718CC">
        <w:rPr>
          <w:noProof/>
        </w:rPr>
        <w:drawing>
          <wp:inline distT="0" distB="0" distL="0" distR="0" wp14:anchorId="05145D4B" wp14:editId="794BB779">
            <wp:extent cx="5943600" cy="488823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4"/>
                    <a:stretch>
                      <a:fillRect/>
                    </a:stretch>
                  </pic:blipFill>
                  <pic:spPr bwMode="auto">
                    <a:xfrm>
                      <a:off x="0" y="0"/>
                      <a:ext cx="5943600" cy="4888230"/>
                    </a:xfrm>
                    <a:prstGeom prst="rect">
                      <a:avLst/>
                    </a:prstGeom>
                  </pic:spPr>
                </pic:pic>
              </a:graphicData>
            </a:graphic>
          </wp:inline>
        </w:drawing>
      </w:r>
    </w:p>
    <w:p w14:paraId="5F608FB2" w14:textId="072B93C2" w:rsidR="00A05BCF" w:rsidRDefault="008718CC">
      <w:pPr>
        <w:spacing w:line="24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(A) Examples of congruent and incongruent trials in Experiment 1.  (B) </w:t>
      </w:r>
      <w:r w:rsidR="000934CA">
        <w:rPr>
          <w:rFonts w:ascii="Times New Roman" w:hAnsi="Times New Roman" w:cs="Times New Roman"/>
          <w:sz w:val="24"/>
          <w:szCs w:val="24"/>
        </w:rPr>
        <w:t xml:space="preserve">On the left is </w:t>
      </w:r>
      <w:r w:rsidR="008F59AF">
        <w:rPr>
          <w:rFonts w:ascii="Times New Roman" w:hAnsi="Times New Roman" w:cs="Times New Roman"/>
          <w:sz w:val="24"/>
          <w:szCs w:val="24"/>
        </w:rPr>
        <w:t>an</w:t>
      </w:r>
      <w:r w:rsidR="00737A33" w:rsidRPr="00737A33">
        <w:rPr>
          <w:rFonts w:ascii="Times New Roman" w:hAnsi="Times New Roman" w:cs="Times New Roman"/>
          <w:color w:val="4472C4" w:themeColor="accent1"/>
          <w:sz w:val="24"/>
          <w:szCs w:val="24"/>
        </w:rPr>
        <w:t xml:space="preserve"> example of </w:t>
      </w:r>
      <w:r w:rsidR="000934CA">
        <w:rPr>
          <w:rFonts w:ascii="Times New Roman" w:hAnsi="Times New Roman" w:cs="Times New Roman"/>
          <w:sz w:val="24"/>
          <w:szCs w:val="24"/>
        </w:rPr>
        <w:t xml:space="preserve">two congruent </w:t>
      </w:r>
      <w:r w:rsidR="004F5531">
        <w:rPr>
          <w:rFonts w:ascii="Times New Roman" w:hAnsi="Times New Roman" w:cs="Times New Roman"/>
          <w:sz w:val="24"/>
          <w:szCs w:val="24"/>
        </w:rPr>
        <w:t>trials—note</w:t>
      </w:r>
      <w:r w:rsidR="000934CA">
        <w:rPr>
          <w:rFonts w:ascii="Times New Roman" w:hAnsi="Times New Roman" w:cs="Times New Roman"/>
          <w:sz w:val="24"/>
          <w:szCs w:val="24"/>
        </w:rPr>
        <w:t xml:space="preserve"> the target (dot) appears in the location of the fearful face on the previous trial (trial </w:t>
      </w:r>
      <w:r w:rsidR="000934CA" w:rsidRPr="0065645B">
        <w:rPr>
          <w:rFonts w:ascii="Times New Roman" w:hAnsi="Times New Roman" w:cs="Times New Roman"/>
          <w:i/>
          <w:iCs/>
          <w:sz w:val="24"/>
          <w:szCs w:val="24"/>
        </w:rPr>
        <w:t>n-</w:t>
      </w:r>
      <w:r w:rsidR="000934CA">
        <w:rPr>
          <w:rFonts w:ascii="Times New Roman" w:hAnsi="Times New Roman" w:cs="Times New Roman"/>
          <w:sz w:val="24"/>
          <w:szCs w:val="24"/>
        </w:rPr>
        <w:t xml:space="preserve">1) and the current trial (trial </w:t>
      </w:r>
      <w:r w:rsidR="000934CA" w:rsidRPr="0065645B">
        <w:rPr>
          <w:rFonts w:ascii="Times New Roman" w:hAnsi="Times New Roman" w:cs="Times New Roman"/>
          <w:i/>
          <w:iCs/>
          <w:sz w:val="24"/>
          <w:szCs w:val="24"/>
        </w:rPr>
        <w:t>n</w:t>
      </w:r>
      <w:r w:rsidR="000934CA">
        <w:rPr>
          <w:rFonts w:ascii="Times New Roman" w:hAnsi="Times New Roman" w:cs="Times New Roman"/>
          <w:sz w:val="24"/>
          <w:szCs w:val="24"/>
        </w:rPr>
        <w:t xml:space="preserve">).  A carryover effect occurs when there is a larger congruency effect </w:t>
      </w:r>
      <w:r w:rsidR="00B51B38">
        <w:rPr>
          <w:rFonts w:ascii="Times New Roman" w:hAnsi="Times New Roman" w:cs="Times New Roman"/>
          <w:sz w:val="24"/>
          <w:szCs w:val="24"/>
        </w:rPr>
        <w:t xml:space="preserve">when the current congruent trial is </w:t>
      </w:r>
      <w:r w:rsidR="000934CA">
        <w:rPr>
          <w:rFonts w:ascii="Times New Roman" w:hAnsi="Times New Roman" w:cs="Times New Roman"/>
          <w:sz w:val="24"/>
          <w:szCs w:val="24"/>
        </w:rPr>
        <w:t xml:space="preserve">preceded by a congruent trial, relative to when it </w:t>
      </w:r>
      <w:r w:rsidR="004F5531">
        <w:rPr>
          <w:rFonts w:ascii="Times New Roman" w:hAnsi="Times New Roman" w:cs="Times New Roman"/>
          <w:sz w:val="24"/>
          <w:szCs w:val="24"/>
        </w:rPr>
        <w:t>i</w:t>
      </w:r>
      <w:r w:rsidR="000934CA">
        <w:rPr>
          <w:rFonts w:ascii="Times New Roman" w:hAnsi="Times New Roman" w:cs="Times New Roman"/>
          <w:sz w:val="24"/>
          <w:szCs w:val="24"/>
        </w:rPr>
        <w:t xml:space="preserve">s </w:t>
      </w:r>
      <w:r w:rsidR="00B51B38">
        <w:rPr>
          <w:rFonts w:ascii="Times New Roman" w:hAnsi="Times New Roman" w:cs="Times New Roman"/>
          <w:sz w:val="24"/>
          <w:szCs w:val="24"/>
        </w:rPr>
        <w:t>preceded</w:t>
      </w:r>
      <w:r w:rsidR="000934CA">
        <w:rPr>
          <w:rFonts w:ascii="Times New Roman" w:hAnsi="Times New Roman" w:cs="Times New Roman"/>
          <w:sz w:val="24"/>
          <w:szCs w:val="24"/>
        </w:rPr>
        <w:t xml:space="preserve"> by an incongruent trial. On the right is an example of two</w:t>
      </w:r>
      <w:r w:rsidR="00B85ECE">
        <w:rPr>
          <w:rFonts w:ascii="Times New Roman" w:hAnsi="Times New Roman" w:cs="Times New Roman"/>
          <w:sz w:val="24"/>
          <w:szCs w:val="24"/>
        </w:rPr>
        <w:t xml:space="preserve"> sequential</w:t>
      </w:r>
      <w:r w:rsidR="000934CA">
        <w:rPr>
          <w:rFonts w:ascii="Times New Roman" w:hAnsi="Times New Roman" w:cs="Times New Roman"/>
          <w:sz w:val="24"/>
          <w:szCs w:val="24"/>
        </w:rPr>
        <w:t xml:space="preserve"> trials where the target appears in the same location (repeating target location).  </w:t>
      </w:r>
    </w:p>
    <w:p w14:paraId="167599BA" w14:textId="77777777" w:rsidR="00A05BCF" w:rsidRDefault="008718CC">
      <w:pPr>
        <w:spacing w:line="240" w:lineRule="auto"/>
        <w:contextualSpacing/>
        <w:rPr>
          <w:rFonts w:ascii="Times New Roman" w:hAnsi="Times New Roman" w:cs="Times New Roman"/>
          <w:b/>
          <w:bCs/>
          <w:sz w:val="24"/>
          <w:szCs w:val="24"/>
        </w:rPr>
      </w:pPr>
      <w:r>
        <w:rPr>
          <w:noProof/>
        </w:rPr>
        <w:lastRenderedPageBreak/>
        <w:drawing>
          <wp:inline distT="0" distB="0" distL="0" distR="0" wp14:anchorId="68CA83C2" wp14:editId="3C2D8B69">
            <wp:extent cx="5943600" cy="6490970"/>
            <wp:effectExtent l="0" t="0" r="0" b="0"/>
            <wp:docPr id="2" name="Picture 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Diagram, engineering drawing, schematic&#10;&#10;Description automatically generated"/>
                    <pic:cNvPicPr>
                      <a:picLocks noChangeAspect="1" noChangeArrowheads="1"/>
                    </pic:cNvPicPr>
                  </pic:nvPicPr>
                  <pic:blipFill>
                    <a:blip r:embed="rId15"/>
                    <a:stretch>
                      <a:fillRect/>
                    </a:stretch>
                  </pic:blipFill>
                  <pic:spPr bwMode="auto">
                    <a:xfrm>
                      <a:off x="0" y="0"/>
                      <a:ext cx="5943600" cy="6490970"/>
                    </a:xfrm>
                    <a:prstGeom prst="rect">
                      <a:avLst/>
                    </a:prstGeom>
                  </pic:spPr>
                </pic:pic>
              </a:graphicData>
            </a:graphic>
          </wp:inline>
        </w:drawing>
      </w:r>
    </w:p>
    <w:p w14:paraId="389723ED" w14:textId="2DD03A5E" w:rsidR="00A05BCF" w:rsidRDefault="008718CC">
      <w:pPr>
        <w:spacing w:line="24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2. </w:t>
      </w:r>
      <w:r>
        <w:rPr>
          <w:rFonts w:ascii="Times New Roman" w:hAnsi="Times New Roman" w:cs="Times New Roman"/>
          <w:sz w:val="24"/>
          <w:szCs w:val="24"/>
        </w:rPr>
        <w:t>Results from Experiment 1 are shown in A and B, Experiment 2 in C and D</w:t>
      </w:r>
      <w:r w:rsidR="00D57932">
        <w:rPr>
          <w:rFonts w:ascii="Times New Roman" w:hAnsi="Times New Roman" w:cs="Times New Roman"/>
          <w:sz w:val="24"/>
          <w:szCs w:val="24"/>
        </w:rPr>
        <w:t xml:space="preserve"> </w:t>
      </w:r>
      <w:r w:rsidR="00D57932" w:rsidRPr="00D57932">
        <w:rPr>
          <w:rFonts w:ascii="Times New Roman" w:hAnsi="Times New Roman" w:cs="Times New Roman"/>
          <w:color w:val="4472C4" w:themeColor="accent1"/>
          <w:sz w:val="24"/>
          <w:szCs w:val="24"/>
        </w:rPr>
        <w:t>(</w:t>
      </w:r>
      <w:r w:rsidR="00D57932" w:rsidRPr="0065645B">
        <w:rPr>
          <w:rFonts w:ascii="Times New Roman" w:hAnsi="Times New Roman" w:cs="Times New Roman"/>
          <w:i/>
          <w:iCs/>
          <w:color w:val="4472C4" w:themeColor="accent1"/>
          <w:sz w:val="24"/>
          <w:szCs w:val="24"/>
        </w:rPr>
        <w:t>n</w:t>
      </w:r>
      <w:r w:rsidR="00D57932" w:rsidRPr="00D57932">
        <w:rPr>
          <w:rFonts w:ascii="Times New Roman" w:hAnsi="Times New Roman" w:cs="Times New Roman"/>
          <w:color w:val="4472C4" w:themeColor="accent1"/>
          <w:sz w:val="24"/>
          <w:szCs w:val="24"/>
        </w:rPr>
        <w:t xml:space="preserve"> indicate</w:t>
      </w:r>
      <w:r w:rsidR="00D57932">
        <w:rPr>
          <w:rFonts w:ascii="Times New Roman" w:hAnsi="Times New Roman" w:cs="Times New Roman"/>
          <w:color w:val="4472C4" w:themeColor="accent1"/>
          <w:sz w:val="24"/>
          <w:szCs w:val="24"/>
        </w:rPr>
        <w:t>s</w:t>
      </w:r>
      <w:r w:rsidR="00D57932" w:rsidRPr="00D57932">
        <w:rPr>
          <w:rFonts w:ascii="Times New Roman" w:hAnsi="Times New Roman" w:cs="Times New Roman"/>
          <w:color w:val="4472C4" w:themeColor="accent1"/>
          <w:sz w:val="24"/>
          <w:szCs w:val="24"/>
        </w:rPr>
        <w:t xml:space="preserve"> participant</w:t>
      </w:r>
      <w:r w:rsidR="001C47ED">
        <w:rPr>
          <w:rFonts w:ascii="Times New Roman" w:hAnsi="Times New Roman" w:cs="Times New Roman"/>
          <w:color w:val="4472C4" w:themeColor="accent1"/>
          <w:sz w:val="24"/>
          <w:szCs w:val="24"/>
        </w:rPr>
        <w:t>, values are averages by participant</w:t>
      </w:r>
      <w:r w:rsidR="00D57932" w:rsidRPr="00D57932">
        <w:rPr>
          <w:rFonts w:ascii="Times New Roman" w:hAnsi="Times New Roman" w:cs="Times New Roman"/>
          <w:color w:val="4472C4" w:themeColor="accent1"/>
          <w:sz w:val="24"/>
          <w:szCs w:val="24"/>
        </w:rPr>
        <w:t>)</w:t>
      </w:r>
      <w:r>
        <w:rPr>
          <w:rFonts w:ascii="Times New Roman" w:hAnsi="Times New Roman" w:cs="Times New Roman"/>
          <w:sz w:val="24"/>
          <w:szCs w:val="24"/>
        </w:rPr>
        <w:t xml:space="preserve">.  A and C show congruent and incongruent RTs (left) and the overall congruency effects (otherwise known as the capturing of attention, or attention bias).  The top row of B and D show congruency effects by previous trial congruency and target repetition.  The bottom row shows congruency effects by previous trial congruency (incongruent minus congruent), separated by target location repetition. Black error </w:t>
      </w:r>
      <w:r>
        <w:rPr>
          <w:rFonts w:ascii="Times New Roman" w:hAnsi="Times New Roman" w:cs="Times New Roman"/>
          <w:sz w:val="24"/>
          <w:szCs w:val="24"/>
        </w:rPr>
        <w:lastRenderedPageBreak/>
        <w:t xml:space="preserve">bars represent standard deviation of the mean.  Gray distributions represent 95% confidence intervals </w:t>
      </w:r>
      <w:r>
        <w:fldChar w:fldCharType="begin"/>
      </w:r>
      <w:r>
        <w:rPr>
          <w:rFonts w:ascii="Times New Roman" w:hAnsi="Times New Roman" w:cs="Times New Roman"/>
          <w:sz w:val="24"/>
          <w:szCs w:val="24"/>
        </w:rPr>
        <w:instrText>ADDIN ZOTERO_ITEM CSL_CITATION {"citationID":"bcQUSCqS","properties":{"formattedCitation":"(Ho et al., 2019)","plainCitation":"(Ho et al., 2019)","noteIndex":0},"citationItems":[{"id":98796,"uris":["http://zotero.org/users/3283490/items/MLD3DTCJ"],"uri":["http://zotero.org/users/3283490/items/MLD3DTCJ"],"itemData":{"id":98796,"type":"article-journal","container-title":"Nature Methods","DOI":"10.1038/s41592-019-0470-3","ISSN":"1548-7091, 1548-7105","issue":"7","journalAbbreviation":"Nat Methods","language":"en","page":"565-566","source":"DOI.org (Crossref)","title":"Moving beyond P values: data analysis with estimation graphics","title-short":"Moving beyond P values","volume":"16","author":[{"family":"Ho","given":"Joses"},{"family":"Tumkaya","given":"Tayfun"},{"family":"Aryal","given":"Sameer"},{"family":"Choi","given":"Hyungwon"},{"family":"Claridge-Chang","given":"Adam"}],"issued":{"date-parts":[["2019",7]]}}}],"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rPr>
        <w:t>(Ho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94A0D26" w14:textId="77777777" w:rsidR="00A05BCF" w:rsidRDefault="008718CC">
      <w:pPr>
        <w:spacing w:line="240" w:lineRule="auto"/>
        <w:contextualSpacing/>
        <w:rPr>
          <w:rFonts w:ascii="Times New Roman" w:hAnsi="Times New Roman" w:cs="Times New Roman"/>
          <w:sz w:val="24"/>
          <w:szCs w:val="24"/>
        </w:rPr>
      </w:pPr>
      <w:r>
        <w:br w:type="page"/>
      </w:r>
    </w:p>
    <w:p w14:paraId="48E71A4F" w14:textId="77777777" w:rsidR="00A05BCF" w:rsidRDefault="008718CC" w:rsidP="0065645B">
      <w:pPr>
        <w:pStyle w:val="Heading"/>
      </w:pPr>
      <w:r>
        <w:lastRenderedPageBreak/>
        <w:t>References</w:t>
      </w:r>
    </w:p>
    <w:p w14:paraId="64E928AE" w14:textId="77777777" w:rsidR="00A05BCF" w:rsidRDefault="008718CC">
      <w:pPr>
        <w:pStyle w:val="Bibliography"/>
        <w:spacing w:line="240" w:lineRule="auto"/>
        <w:contextualSpacing/>
        <w:rPr>
          <w:rFonts w:ascii="Times New Roman" w:hAnsi="Times New Roman" w:cs="Times New Roman"/>
          <w:sz w:val="24"/>
        </w:rPr>
      </w:pPr>
      <w:r>
        <w:rPr>
          <w:rFonts w:ascii="Times New Roman" w:hAnsi="Times New Roman" w:cs="Times New Roman"/>
          <w:sz w:val="24"/>
        </w:rPr>
        <w:t xml:space="preserve">AUTHOR (2020). </w:t>
      </w:r>
    </w:p>
    <w:p w14:paraId="5FCA8F33" w14:textId="77777777" w:rsidR="00A05BCF" w:rsidRDefault="008718CC">
      <w:pPr>
        <w:pStyle w:val="Bibliography"/>
        <w:spacing w:line="240" w:lineRule="auto"/>
        <w:contextualSpacing/>
        <w:rPr>
          <w:rFonts w:ascii="Times New Roman" w:hAnsi="Times New Roman" w:cs="Times New Roman"/>
          <w:sz w:val="24"/>
        </w:rPr>
      </w:pPr>
      <w:r>
        <w:rPr>
          <w:rFonts w:ascii="Times New Roman" w:hAnsi="Times New Roman" w:cs="Times New Roman"/>
          <w:sz w:val="24"/>
        </w:rPr>
        <w:t xml:space="preserve">AUTHOR (2014). </w:t>
      </w:r>
    </w:p>
    <w:p w14:paraId="5F9CC7E6" w14:textId="77777777" w:rsidR="00120B5D" w:rsidRPr="00120B5D" w:rsidRDefault="008718CC" w:rsidP="00120B5D">
      <w:pPr>
        <w:pStyle w:val="Bibliography"/>
        <w:rPr>
          <w:rFonts w:ascii="Times New Roman" w:hAnsi="Times New Roman" w:cs="Times New Roman"/>
          <w:sz w:val="24"/>
        </w:rPr>
      </w:pPr>
      <w:r>
        <w:fldChar w:fldCharType="begin"/>
      </w:r>
      <w:r>
        <w:instrText>ADDIN ZOTERO_BIBL {"uncited":[],"omitted":[],"custom":[]} CSL_BIBLIOGRAPHY</w:instrText>
      </w:r>
      <w:r>
        <w:fldChar w:fldCharType="separate"/>
      </w:r>
      <w:r w:rsidR="00120B5D" w:rsidRPr="00120B5D">
        <w:rPr>
          <w:rFonts w:ascii="Times New Roman" w:hAnsi="Times New Roman" w:cs="Times New Roman"/>
          <w:sz w:val="24"/>
        </w:rPr>
        <w:t xml:space="preserve">Anderson, B. A., &amp; Britton, M. K. (2019). On the automaticity of attentional orienting to threatening stimuli. </w:t>
      </w:r>
      <w:r w:rsidR="00120B5D" w:rsidRPr="00120B5D">
        <w:rPr>
          <w:rFonts w:ascii="Times New Roman" w:hAnsi="Times New Roman" w:cs="Times New Roman"/>
          <w:i/>
          <w:iCs/>
          <w:sz w:val="24"/>
        </w:rPr>
        <w:t>Emotion</w:t>
      </w:r>
      <w:r w:rsidR="00120B5D" w:rsidRPr="00120B5D">
        <w:rPr>
          <w:rFonts w:ascii="Times New Roman" w:hAnsi="Times New Roman" w:cs="Times New Roman"/>
          <w:sz w:val="24"/>
        </w:rPr>
        <w:t>. https://doi.org/10.1037/emo0000596</w:t>
      </w:r>
    </w:p>
    <w:p w14:paraId="1CAD9F9E"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Becker, S. I., Dutt, N., Vromen, J. M. G., &amp; Horstmann, G. (2017). The capture of attention and gaze in the search for emotional photographic faces. </w:t>
      </w:r>
      <w:r w:rsidRPr="00120B5D">
        <w:rPr>
          <w:rFonts w:ascii="Times New Roman" w:hAnsi="Times New Roman" w:cs="Times New Roman"/>
          <w:i/>
          <w:iCs/>
          <w:sz w:val="24"/>
        </w:rPr>
        <w:t>Visual Cognition</w:t>
      </w:r>
      <w:r w:rsidRPr="00120B5D">
        <w:rPr>
          <w:rFonts w:ascii="Times New Roman" w:hAnsi="Times New Roman" w:cs="Times New Roman"/>
          <w:sz w:val="24"/>
        </w:rPr>
        <w:t xml:space="preserve">, </w:t>
      </w:r>
      <w:r w:rsidRPr="00120B5D">
        <w:rPr>
          <w:rFonts w:ascii="Times New Roman" w:hAnsi="Times New Roman" w:cs="Times New Roman"/>
          <w:i/>
          <w:iCs/>
          <w:sz w:val="24"/>
        </w:rPr>
        <w:t>25</w:t>
      </w:r>
      <w:r w:rsidRPr="00120B5D">
        <w:rPr>
          <w:rFonts w:ascii="Times New Roman" w:hAnsi="Times New Roman" w:cs="Times New Roman"/>
          <w:sz w:val="24"/>
        </w:rPr>
        <w:t>(1–3), 241–261. https://doi.org/10.1080/13506285.2017.1333182</w:t>
      </w:r>
    </w:p>
    <w:p w14:paraId="4BD13ACD"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Cane, J., Sharma, D., &amp; Albery, I. (2009). The addiction Stroop task: Examining the fast and slow effects of smoking and marijuana-related cues. </w:t>
      </w:r>
      <w:r w:rsidRPr="00120B5D">
        <w:rPr>
          <w:rFonts w:ascii="Times New Roman" w:hAnsi="Times New Roman" w:cs="Times New Roman"/>
          <w:i/>
          <w:iCs/>
          <w:sz w:val="24"/>
        </w:rPr>
        <w:t>Journal of Psychopharmacology</w:t>
      </w:r>
      <w:r w:rsidRPr="00120B5D">
        <w:rPr>
          <w:rFonts w:ascii="Times New Roman" w:hAnsi="Times New Roman" w:cs="Times New Roman"/>
          <w:sz w:val="24"/>
        </w:rPr>
        <w:t xml:space="preserve">, </w:t>
      </w:r>
      <w:r w:rsidRPr="00120B5D">
        <w:rPr>
          <w:rFonts w:ascii="Times New Roman" w:hAnsi="Times New Roman" w:cs="Times New Roman"/>
          <w:i/>
          <w:iCs/>
          <w:sz w:val="24"/>
        </w:rPr>
        <w:t>23</w:t>
      </w:r>
      <w:r w:rsidRPr="00120B5D">
        <w:rPr>
          <w:rFonts w:ascii="Times New Roman" w:hAnsi="Times New Roman" w:cs="Times New Roman"/>
          <w:sz w:val="24"/>
        </w:rPr>
        <w:t>(5), 510–519. https://doi.org/10.1177/0269881108091253</w:t>
      </w:r>
    </w:p>
    <w:p w14:paraId="34C9B279"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Carlson, J. M., &amp; Fang, L. (2020). The stability and reliability of attentional bias measures in the dot-probe task: Evidence from both traditional mean bias scores and trial-level bias scores. </w:t>
      </w:r>
      <w:r w:rsidRPr="00120B5D">
        <w:rPr>
          <w:rFonts w:ascii="Times New Roman" w:hAnsi="Times New Roman" w:cs="Times New Roman"/>
          <w:i/>
          <w:iCs/>
          <w:sz w:val="24"/>
        </w:rPr>
        <w:t>Motivation and Emotion</w:t>
      </w:r>
      <w:r w:rsidRPr="00120B5D">
        <w:rPr>
          <w:rFonts w:ascii="Times New Roman" w:hAnsi="Times New Roman" w:cs="Times New Roman"/>
          <w:sz w:val="24"/>
        </w:rPr>
        <w:t>, 13.</w:t>
      </w:r>
    </w:p>
    <w:p w14:paraId="38D0AA4B"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Carlson, J. M., &amp; Reinke, K. S. (2014). Attending to the fear in your eyes: Facilitated orienting and delayed disengagement. </w:t>
      </w:r>
      <w:r w:rsidRPr="00120B5D">
        <w:rPr>
          <w:rFonts w:ascii="Times New Roman" w:hAnsi="Times New Roman" w:cs="Times New Roman"/>
          <w:i/>
          <w:iCs/>
          <w:sz w:val="24"/>
        </w:rPr>
        <w:t>Cognition and Emotion</w:t>
      </w:r>
      <w:r w:rsidRPr="00120B5D">
        <w:rPr>
          <w:rFonts w:ascii="Times New Roman" w:hAnsi="Times New Roman" w:cs="Times New Roman"/>
          <w:sz w:val="24"/>
        </w:rPr>
        <w:t xml:space="preserve">, </w:t>
      </w:r>
      <w:r w:rsidRPr="00120B5D">
        <w:rPr>
          <w:rFonts w:ascii="Times New Roman" w:hAnsi="Times New Roman" w:cs="Times New Roman"/>
          <w:i/>
          <w:iCs/>
          <w:sz w:val="24"/>
        </w:rPr>
        <w:t>28</w:t>
      </w:r>
      <w:r w:rsidRPr="00120B5D">
        <w:rPr>
          <w:rFonts w:ascii="Times New Roman" w:hAnsi="Times New Roman" w:cs="Times New Roman"/>
          <w:sz w:val="24"/>
        </w:rPr>
        <w:t>(8), 1398–1406. psyh. https://doi.org/10.1080/02699931.2014.885410</w:t>
      </w:r>
    </w:p>
    <w:p w14:paraId="3821CD06"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Carretié, L. (2014). Exogenous (automatic) attention to emotional stimuli: A review. </w:t>
      </w:r>
      <w:r w:rsidRPr="00120B5D">
        <w:rPr>
          <w:rFonts w:ascii="Times New Roman" w:hAnsi="Times New Roman" w:cs="Times New Roman"/>
          <w:i/>
          <w:iCs/>
          <w:sz w:val="24"/>
        </w:rPr>
        <w:t>Cognitive, Affective, &amp; Behavioral Neuroscience</w:t>
      </w:r>
      <w:r w:rsidRPr="00120B5D">
        <w:rPr>
          <w:rFonts w:ascii="Times New Roman" w:hAnsi="Times New Roman" w:cs="Times New Roman"/>
          <w:sz w:val="24"/>
        </w:rPr>
        <w:t xml:space="preserve">, </w:t>
      </w:r>
      <w:r w:rsidRPr="00120B5D">
        <w:rPr>
          <w:rFonts w:ascii="Times New Roman" w:hAnsi="Times New Roman" w:cs="Times New Roman"/>
          <w:i/>
          <w:iCs/>
          <w:sz w:val="24"/>
        </w:rPr>
        <w:t>14</w:t>
      </w:r>
      <w:r w:rsidRPr="00120B5D">
        <w:rPr>
          <w:rFonts w:ascii="Times New Roman" w:hAnsi="Times New Roman" w:cs="Times New Roman"/>
          <w:sz w:val="24"/>
        </w:rPr>
        <w:t>(4), 1228–1258. https://doi.org/10.3758/s13415-014-0270-2</w:t>
      </w:r>
    </w:p>
    <w:p w14:paraId="03C3277D"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Clarke, S. P., Sharma, D., &amp; Salter, D. (2015). Examining fast and slow effects for alcohol and negative emotion in problem and social drinkers. </w:t>
      </w:r>
      <w:r w:rsidRPr="00120B5D">
        <w:rPr>
          <w:rFonts w:ascii="Times New Roman" w:hAnsi="Times New Roman" w:cs="Times New Roman"/>
          <w:i/>
          <w:iCs/>
          <w:sz w:val="24"/>
        </w:rPr>
        <w:t>Addiction Research &amp; Theory</w:t>
      </w:r>
      <w:r w:rsidRPr="00120B5D">
        <w:rPr>
          <w:rFonts w:ascii="Times New Roman" w:hAnsi="Times New Roman" w:cs="Times New Roman"/>
          <w:sz w:val="24"/>
        </w:rPr>
        <w:t xml:space="preserve">, </w:t>
      </w:r>
      <w:r w:rsidRPr="00120B5D">
        <w:rPr>
          <w:rFonts w:ascii="Times New Roman" w:hAnsi="Times New Roman" w:cs="Times New Roman"/>
          <w:i/>
          <w:iCs/>
          <w:sz w:val="24"/>
        </w:rPr>
        <w:t>23</w:t>
      </w:r>
      <w:r w:rsidRPr="00120B5D">
        <w:rPr>
          <w:rFonts w:ascii="Times New Roman" w:hAnsi="Times New Roman" w:cs="Times New Roman"/>
          <w:sz w:val="24"/>
        </w:rPr>
        <w:t>(1), 24–33. https://doi.org/10.3109/16066359.2014.922961</w:t>
      </w:r>
    </w:p>
    <w:p w14:paraId="70CEA4BF"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Desimone, R., &amp; Duncan, J. (1995). </w:t>
      </w:r>
      <w:r w:rsidRPr="00120B5D">
        <w:rPr>
          <w:rFonts w:ascii="Times New Roman" w:hAnsi="Times New Roman" w:cs="Times New Roman"/>
          <w:i/>
          <w:iCs/>
          <w:sz w:val="24"/>
        </w:rPr>
        <w:t>Neural Mechanisms of Selective Visual Attention</w:t>
      </w:r>
      <w:r w:rsidRPr="00120B5D">
        <w:rPr>
          <w:rFonts w:ascii="Times New Roman" w:hAnsi="Times New Roman" w:cs="Times New Roman"/>
          <w:sz w:val="24"/>
        </w:rPr>
        <w:t>. 30.</w:t>
      </w:r>
    </w:p>
    <w:p w14:paraId="42933862"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lastRenderedPageBreak/>
        <w:t xml:space="preserve">Duthoo, W., Abrahamse, E. L., Braem, S., Boehler, C. N., &amp; Notebaert, W. (2014). The heterogeneous world of congruency sequence effects: An update. </w:t>
      </w:r>
      <w:r w:rsidRPr="00120B5D">
        <w:rPr>
          <w:rFonts w:ascii="Times New Roman" w:hAnsi="Times New Roman" w:cs="Times New Roman"/>
          <w:i/>
          <w:iCs/>
          <w:sz w:val="24"/>
        </w:rPr>
        <w:t>Frontiers in Psychology</w:t>
      </w:r>
      <w:r w:rsidRPr="00120B5D">
        <w:rPr>
          <w:rFonts w:ascii="Times New Roman" w:hAnsi="Times New Roman" w:cs="Times New Roman"/>
          <w:sz w:val="24"/>
        </w:rPr>
        <w:t xml:space="preserve">, </w:t>
      </w:r>
      <w:r w:rsidRPr="00120B5D">
        <w:rPr>
          <w:rFonts w:ascii="Times New Roman" w:hAnsi="Times New Roman" w:cs="Times New Roman"/>
          <w:i/>
          <w:iCs/>
          <w:sz w:val="24"/>
        </w:rPr>
        <w:t>5</w:t>
      </w:r>
      <w:r w:rsidRPr="00120B5D">
        <w:rPr>
          <w:rFonts w:ascii="Times New Roman" w:hAnsi="Times New Roman" w:cs="Times New Roman"/>
          <w:sz w:val="24"/>
        </w:rPr>
        <w:t>. https://doi.org/10.3389/fpsyg.2014.01001</w:t>
      </w:r>
    </w:p>
    <w:p w14:paraId="24E6F154"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Fox, E., Russo, R., Bowles, R., &amp; Dutton, K. (2001). Do threatening stimuli draw or hold visual attention in subclinical anxiety? </w:t>
      </w:r>
      <w:r w:rsidRPr="00120B5D">
        <w:rPr>
          <w:rFonts w:ascii="Times New Roman" w:hAnsi="Times New Roman" w:cs="Times New Roman"/>
          <w:i/>
          <w:iCs/>
          <w:sz w:val="24"/>
        </w:rPr>
        <w:t>Journal of Experimental Psychology: General</w:t>
      </w:r>
      <w:r w:rsidRPr="00120B5D">
        <w:rPr>
          <w:rFonts w:ascii="Times New Roman" w:hAnsi="Times New Roman" w:cs="Times New Roman"/>
          <w:sz w:val="24"/>
        </w:rPr>
        <w:t xml:space="preserve">, </w:t>
      </w:r>
      <w:r w:rsidRPr="00120B5D">
        <w:rPr>
          <w:rFonts w:ascii="Times New Roman" w:hAnsi="Times New Roman" w:cs="Times New Roman"/>
          <w:i/>
          <w:iCs/>
          <w:sz w:val="24"/>
        </w:rPr>
        <w:t>130</w:t>
      </w:r>
      <w:r w:rsidRPr="00120B5D">
        <w:rPr>
          <w:rFonts w:ascii="Times New Roman" w:hAnsi="Times New Roman" w:cs="Times New Roman"/>
          <w:sz w:val="24"/>
        </w:rPr>
        <w:t>(4), 681–700. https://doi.org/10.1037/0096-3445.130.4.681</w:t>
      </w:r>
    </w:p>
    <w:p w14:paraId="4AC4E24E"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Gladwin, T. E. (2017a). Carryover effects in spatial attentional bias tasks and their relationship to subclinical PTSD symptoms. </w:t>
      </w:r>
      <w:r w:rsidRPr="00120B5D">
        <w:rPr>
          <w:rFonts w:ascii="Times New Roman" w:hAnsi="Times New Roman" w:cs="Times New Roman"/>
          <w:i/>
          <w:iCs/>
          <w:sz w:val="24"/>
        </w:rPr>
        <w:t>Traumatology</w:t>
      </w:r>
      <w:r w:rsidRPr="00120B5D">
        <w:rPr>
          <w:rFonts w:ascii="Times New Roman" w:hAnsi="Times New Roman" w:cs="Times New Roman"/>
          <w:sz w:val="24"/>
        </w:rPr>
        <w:t xml:space="preserve">, </w:t>
      </w:r>
      <w:r w:rsidRPr="00120B5D">
        <w:rPr>
          <w:rFonts w:ascii="Times New Roman" w:hAnsi="Times New Roman" w:cs="Times New Roman"/>
          <w:i/>
          <w:iCs/>
          <w:sz w:val="24"/>
        </w:rPr>
        <w:t>23</w:t>
      </w:r>
      <w:r w:rsidRPr="00120B5D">
        <w:rPr>
          <w:rFonts w:ascii="Times New Roman" w:hAnsi="Times New Roman" w:cs="Times New Roman"/>
          <w:sz w:val="24"/>
        </w:rPr>
        <w:t>(4), 303. https://doi.org/10.1037/trm0000121</w:t>
      </w:r>
    </w:p>
    <w:p w14:paraId="7E2AAC6A"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Gladwin, T. E. (2017b). Carryover effects in spatial attentional bias tasks and their relationship to subclinical PTSD symptoms. </w:t>
      </w:r>
      <w:r w:rsidRPr="00120B5D">
        <w:rPr>
          <w:rFonts w:ascii="Times New Roman" w:hAnsi="Times New Roman" w:cs="Times New Roman"/>
          <w:i/>
          <w:iCs/>
          <w:sz w:val="24"/>
        </w:rPr>
        <w:t>Traumatology</w:t>
      </w:r>
      <w:r w:rsidRPr="00120B5D">
        <w:rPr>
          <w:rFonts w:ascii="Times New Roman" w:hAnsi="Times New Roman" w:cs="Times New Roman"/>
          <w:sz w:val="24"/>
        </w:rPr>
        <w:t xml:space="preserve">, </w:t>
      </w:r>
      <w:r w:rsidRPr="00120B5D">
        <w:rPr>
          <w:rFonts w:ascii="Times New Roman" w:hAnsi="Times New Roman" w:cs="Times New Roman"/>
          <w:i/>
          <w:iCs/>
          <w:sz w:val="24"/>
        </w:rPr>
        <w:t>23</w:t>
      </w:r>
      <w:r w:rsidRPr="00120B5D">
        <w:rPr>
          <w:rFonts w:ascii="Times New Roman" w:hAnsi="Times New Roman" w:cs="Times New Roman"/>
          <w:sz w:val="24"/>
        </w:rPr>
        <w:t>(4), 303–308. psyh. https://doi.org/10.1037/trm0000121</w:t>
      </w:r>
    </w:p>
    <w:p w14:paraId="462555CB" w14:textId="77777777" w:rsidR="00120B5D" w:rsidRPr="009C1040" w:rsidRDefault="00120B5D" w:rsidP="00120B5D">
      <w:pPr>
        <w:pStyle w:val="Bibliography"/>
        <w:rPr>
          <w:rFonts w:ascii="Times New Roman" w:hAnsi="Times New Roman" w:cs="Times New Roman"/>
          <w:sz w:val="24"/>
          <w:lang w:val="fr-FR"/>
        </w:rPr>
      </w:pPr>
      <w:r w:rsidRPr="00120B5D">
        <w:rPr>
          <w:rFonts w:ascii="Times New Roman" w:hAnsi="Times New Roman" w:cs="Times New Roman"/>
          <w:sz w:val="24"/>
        </w:rPr>
        <w:t xml:space="preserve">Gladwin, T. E., &amp; Figner, B. (2019). Trial-to-trial carryover effects on spatial attentional bias. </w:t>
      </w:r>
      <w:r w:rsidRPr="009C1040">
        <w:rPr>
          <w:rFonts w:ascii="Times New Roman" w:hAnsi="Times New Roman" w:cs="Times New Roman"/>
          <w:i/>
          <w:iCs/>
          <w:sz w:val="24"/>
          <w:lang w:val="fr-FR"/>
        </w:rPr>
        <w:t>Acta Psychologica</w:t>
      </w:r>
      <w:r w:rsidRPr="009C1040">
        <w:rPr>
          <w:rFonts w:ascii="Times New Roman" w:hAnsi="Times New Roman" w:cs="Times New Roman"/>
          <w:sz w:val="24"/>
          <w:lang w:val="fr-FR"/>
        </w:rPr>
        <w:t xml:space="preserve">, </w:t>
      </w:r>
      <w:r w:rsidRPr="009C1040">
        <w:rPr>
          <w:rFonts w:ascii="Times New Roman" w:hAnsi="Times New Roman" w:cs="Times New Roman"/>
          <w:i/>
          <w:iCs/>
          <w:sz w:val="24"/>
          <w:lang w:val="fr-FR"/>
        </w:rPr>
        <w:t>196</w:t>
      </w:r>
      <w:r w:rsidRPr="009C1040">
        <w:rPr>
          <w:rFonts w:ascii="Times New Roman" w:hAnsi="Times New Roman" w:cs="Times New Roman"/>
          <w:sz w:val="24"/>
          <w:lang w:val="fr-FR"/>
        </w:rPr>
        <w:t>, 51–55. https://doi.org/10.1016/j.actpsy.2019.04.006</w:t>
      </w:r>
    </w:p>
    <w:p w14:paraId="21592D2E" w14:textId="77777777" w:rsidR="00120B5D" w:rsidRPr="00120B5D" w:rsidRDefault="00120B5D" w:rsidP="00120B5D">
      <w:pPr>
        <w:pStyle w:val="Bibliography"/>
        <w:rPr>
          <w:rFonts w:ascii="Times New Roman" w:hAnsi="Times New Roman" w:cs="Times New Roman"/>
          <w:sz w:val="24"/>
        </w:rPr>
      </w:pPr>
      <w:r w:rsidRPr="009C1040">
        <w:rPr>
          <w:rFonts w:ascii="Times New Roman" w:hAnsi="Times New Roman" w:cs="Times New Roman"/>
          <w:sz w:val="24"/>
          <w:lang w:val="fr-FR"/>
        </w:rPr>
        <w:t xml:space="preserve">Gladwin, T. E., Figner, B., &amp; Vink, M. (2019). </w:t>
      </w:r>
      <w:r w:rsidRPr="00120B5D">
        <w:rPr>
          <w:rFonts w:ascii="Times New Roman" w:hAnsi="Times New Roman" w:cs="Times New Roman"/>
          <w:sz w:val="24"/>
        </w:rPr>
        <w:t xml:space="preserve">Anticipation-specific reliability and trial-to-trial carryover of anticipatory attentional bias for threat. </w:t>
      </w:r>
      <w:r w:rsidRPr="00120B5D">
        <w:rPr>
          <w:rFonts w:ascii="Times New Roman" w:hAnsi="Times New Roman" w:cs="Times New Roman"/>
          <w:i/>
          <w:iCs/>
          <w:sz w:val="24"/>
        </w:rPr>
        <w:t>Journal of Cognitive Psychology</w:t>
      </w:r>
      <w:r w:rsidRPr="00120B5D">
        <w:rPr>
          <w:rFonts w:ascii="Times New Roman" w:hAnsi="Times New Roman" w:cs="Times New Roman"/>
          <w:sz w:val="24"/>
        </w:rPr>
        <w:t xml:space="preserve">, </w:t>
      </w:r>
      <w:r w:rsidRPr="00120B5D">
        <w:rPr>
          <w:rFonts w:ascii="Times New Roman" w:hAnsi="Times New Roman" w:cs="Times New Roman"/>
          <w:i/>
          <w:iCs/>
          <w:sz w:val="24"/>
        </w:rPr>
        <w:t>31</w:t>
      </w:r>
      <w:r w:rsidRPr="00120B5D">
        <w:rPr>
          <w:rFonts w:ascii="Times New Roman" w:hAnsi="Times New Roman" w:cs="Times New Roman"/>
          <w:sz w:val="24"/>
        </w:rPr>
        <w:t>(7), 750–759. https://doi.org/10.1080/20445911.2019.1659801</w:t>
      </w:r>
    </w:p>
    <w:p w14:paraId="75270EC8"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Gladwin, T. E., Jewiss, M., &amp; Vink, M. (2020). Attentional bias for negative expressions depends on previous target location: Replicable effect but unreliable measures. </w:t>
      </w:r>
      <w:r w:rsidRPr="00120B5D">
        <w:rPr>
          <w:rFonts w:ascii="Times New Roman" w:hAnsi="Times New Roman" w:cs="Times New Roman"/>
          <w:i/>
          <w:iCs/>
          <w:sz w:val="24"/>
        </w:rPr>
        <w:t>Journal of Cognitive Psychology</w:t>
      </w:r>
      <w:r w:rsidRPr="00120B5D">
        <w:rPr>
          <w:rFonts w:ascii="Times New Roman" w:hAnsi="Times New Roman" w:cs="Times New Roman"/>
          <w:sz w:val="24"/>
        </w:rPr>
        <w:t>, 1–11. https://doi.org/10.1080/20445911.2020.1805453</w:t>
      </w:r>
    </w:p>
    <w:p w14:paraId="766EFD06"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Gur, R. C., Sara, R., Hagendoorn, M., Marom, O., Hughett, P., Macy, L., Turner, T., Bajcsy, R., Posner, A., &amp; Gur, R. E. (2002). A method for obtaining 3-dimensional facial expressions </w:t>
      </w:r>
      <w:r w:rsidRPr="00120B5D">
        <w:rPr>
          <w:rFonts w:ascii="Times New Roman" w:hAnsi="Times New Roman" w:cs="Times New Roman"/>
          <w:sz w:val="24"/>
        </w:rPr>
        <w:lastRenderedPageBreak/>
        <w:t xml:space="preserve">and its standardization for use in neurocognitive studies. </w:t>
      </w:r>
      <w:r w:rsidRPr="00120B5D">
        <w:rPr>
          <w:rFonts w:ascii="Times New Roman" w:hAnsi="Times New Roman" w:cs="Times New Roman"/>
          <w:i/>
          <w:iCs/>
          <w:sz w:val="24"/>
        </w:rPr>
        <w:t>Journal of Neuroscience Methods</w:t>
      </w:r>
      <w:r w:rsidRPr="00120B5D">
        <w:rPr>
          <w:rFonts w:ascii="Times New Roman" w:hAnsi="Times New Roman" w:cs="Times New Roman"/>
          <w:sz w:val="24"/>
        </w:rPr>
        <w:t xml:space="preserve">, </w:t>
      </w:r>
      <w:r w:rsidRPr="00120B5D">
        <w:rPr>
          <w:rFonts w:ascii="Times New Roman" w:hAnsi="Times New Roman" w:cs="Times New Roman"/>
          <w:i/>
          <w:iCs/>
          <w:sz w:val="24"/>
        </w:rPr>
        <w:t>115</w:t>
      </w:r>
      <w:r w:rsidRPr="00120B5D">
        <w:rPr>
          <w:rFonts w:ascii="Times New Roman" w:hAnsi="Times New Roman" w:cs="Times New Roman"/>
          <w:sz w:val="24"/>
        </w:rPr>
        <w:t>(2), 137–143. https://doi.org/10.1016/S0165-0270(02)00006-7</w:t>
      </w:r>
    </w:p>
    <w:p w14:paraId="1AEDBE73"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Hedge, C., Powell, G., &amp; Sumner, P. (2018). The reliability paradox: Why robust cognitive tasks do not produce reliable individual differences. </w:t>
      </w:r>
      <w:r w:rsidRPr="00120B5D">
        <w:rPr>
          <w:rFonts w:ascii="Times New Roman" w:hAnsi="Times New Roman" w:cs="Times New Roman"/>
          <w:i/>
          <w:iCs/>
          <w:sz w:val="24"/>
        </w:rPr>
        <w:t>Behavior Research Methods</w:t>
      </w:r>
      <w:r w:rsidRPr="00120B5D">
        <w:rPr>
          <w:rFonts w:ascii="Times New Roman" w:hAnsi="Times New Roman" w:cs="Times New Roman"/>
          <w:sz w:val="24"/>
        </w:rPr>
        <w:t xml:space="preserve">, </w:t>
      </w:r>
      <w:r w:rsidRPr="00120B5D">
        <w:rPr>
          <w:rFonts w:ascii="Times New Roman" w:hAnsi="Times New Roman" w:cs="Times New Roman"/>
          <w:i/>
          <w:iCs/>
          <w:sz w:val="24"/>
        </w:rPr>
        <w:t>50</w:t>
      </w:r>
      <w:r w:rsidRPr="00120B5D">
        <w:rPr>
          <w:rFonts w:ascii="Times New Roman" w:hAnsi="Times New Roman" w:cs="Times New Roman"/>
          <w:sz w:val="24"/>
        </w:rPr>
        <w:t>(3), 1166–1186. https://doi.org/10.3758/s13428-017-0935-1</w:t>
      </w:r>
    </w:p>
    <w:p w14:paraId="2DB01194" w14:textId="77777777" w:rsidR="00120B5D" w:rsidRPr="0065645B" w:rsidRDefault="00120B5D" w:rsidP="00120B5D">
      <w:pPr>
        <w:pStyle w:val="Bibliography"/>
        <w:rPr>
          <w:rFonts w:ascii="Times New Roman" w:hAnsi="Times New Roman" w:cs="Times New Roman"/>
          <w:sz w:val="24"/>
          <w:lang w:val="fr-FR"/>
        </w:rPr>
      </w:pPr>
      <w:r w:rsidRPr="00120B5D">
        <w:rPr>
          <w:rFonts w:ascii="Times New Roman" w:hAnsi="Times New Roman" w:cs="Times New Roman"/>
          <w:sz w:val="24"/>
        </w:rPr>
        <w:t xml:space="preserve">Hedger, N., Gray, K. L. H., Garner, M., &amp; Adams, W. J. (2016). Are visual threats prioritized without awareness? A critical review and meta-analysis involving 3 behavioral paradigms and 2696 observers. </w:t>
      </w:r>
      <w:r w:rsidRPr="0065645B">
        <w:rPr>
          <w:rFonts w:ascii="Times New Roman" w:hAnsi="Times New Roman" w:cs="Times New Roman"/>
          <w:i/>
          <w:iCs/>
          <w:sz w:val="24"/>
          <w:lang w:val="fr-FR"/>
        </w:rPr>
        <w:t>Psychological Bulletin</w:t>
      </w:r>
      <w:r w:rsidRPr="0065645B">
        <w:rPr>
          <w:rFonts w:ascii="Times New Roman" w:hAnsi="Times New Roman" w:cs="Times New Roman"/>
          <w:sz w:val="24"/>
          <w:lang w:val="fr-FR"/>
        </w:rPr>
        <w:t xml:space="preserve">, </w:t>
      </w:r>
      <w:r w:rsidRPr="0065645B">
        <w:rPr>
          <w:rFonts w:ascii="Times New Roman" w:hAnsi="Times New Roman" w:cs="Times New Roman"/>
          <w:i/>
          <w:iCs/>
          <w:sz w:val="24"/>
          <w:lang w:val="fr-FR"/>
        </w:rPr>
        <w:t>142</w:t>
      </w:r>
      <w:r w:rsidRPr="0065645B">
        <w:rPr>
          <w:rFonts w:ascii="Times New Roman" w:hAnsi="Times New Roman" w:cs="Times New Roman"/>
          <w:sz w:val="24"/>
          <w:lang w:val="fr-FR"/>
        </w:rPr>
        <w:t>(9), 934–968. https://doi.org/10.1037/bul0000054</w:t>
      </w:r>
    </w:p>
    <w:p w14:paraId="569F1F66" w14:textId="77777777" w:rsidR="00120B5D" w:rsidRPr="00120B5D" w:rsidRDefault="00120B5D" w:rsidP="00120B5D">
      <w:pPr>
        <w:pStyle w:val="Bibliography"/>
        <w:rPr>
          <w:rFonts w:ascii="Times New Roman" w:hAnsi="Times New Roman" w:cs="Times New Roman"/>
          <w:sz w:val="24"/>
        </w:rPr>
      </w:pPr>
      <w:r w:rsidRPr="0065645B">
        <w:rPr>
          <w:rFonts w:ascii="Times New Roman" w:hAnsi="Times New Roman" w:cs="Times New Roman"/>
          <w:sz w:val="24"/>
          <w:lang w:val="fr-FR"/>
        </w:rPr>
        <w:t xml:space="preserve">Hill, M., &amp; Duval, E. (2016). </w:t>
      </w:r>
      <w:r w:rsidRPr="00120B5D">
        <w:rPr>
          <w:rFonts w:ascii="Times New Roman" w:hAnsi="Times New Roman" w:cs="Times New Roman"/>
          <w:i/>
          <w:iCs/>
          <w:sz w:val="24"/>
        </w:rPr>
        <w:t>Exploring Carry-Over Effects to Elucidate Attention Bias Modification’s Mixed Results</w:t>
      </w:r>
      <w:r w:rsidRPr="00120B5D">
        <w:rPr>
          <w:rFonts w:ascii="Times New Roman" w:hAnsi="Times New Roman" w:cs="Times New Roman"/>
          <w:sz w:val="24"/>
        </w:rPr>
        <w:t>. Journal of Young Investigators. https://doi.org/10.22186/jyi.31.3.9-14</w:t>
      </w:r>
    </w:p>
    <w:p w14:paraId="31847495"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Ho, J., Tumkaya, T., Aryal, S., Choi, H., &amp; Claridge-Chang, A. (2019). Moving beyond P values: Data analysis with estimation graphics. </w:t>
      </w:r>
      <w:r w:rsidRPr="00120B5D">
        <w:rPr>
          <w:rFonts w:ascii="Times New Roman" w:hAnsi="Times New Roman" w:cs="Times New Roman"/>
          <w:i/>
          <w:iCs/>
          <w:sz w:val="24"/>
        </w:rPr>
        <w:t>Nature Methods</w:t>
      </w:r>
      <w:r w:rsidRPr="00120B5D">
        <w:rPr>
          <w:rFonts w:ascii="Times New Roman" w:hAnsi="Times New Roman" w:cs="Times New Roman"/>
          <w:sz w:val="24"/>
        </w:rPr>
        <w:t xml:space="preserve">, </w:t>
      </w:r>
      <w:r w:rsidRPr="00120B5D">
        <w:rPr>
          <w:rFonts w:ascii="Times New Roman" w:hAnsi="Times New Roman" w:cs="Times New Roman"/>
          <w:i/>
          <w:iCs/>
          <w:sz w:val="24"/>
        </w:rPr>
        <w:t>16</w:t>
      </w:r>
      <w:r w:rsidRPr="00120B5D">
        <w:rPr>
          <w:rFonts w:ascii="Times New Roman" w:hAnsi="Times New Roman" w:cs="Times New Roman"/>
          <w:sz w:val="24"/>
        </w:rPr>
        <w:t>(7), 565–566. https://doi.org/10.1038/s41592-019-0470-3</w:t>
      </w:r>
    </w:p>
    <w:p w14:paraId="41793A84" w14:textId="77777777" w:rsidR="00120B5D" w:rsidRPr="00120B5D" w:rsidRDefault="00120B5D" w:rsidP="00120B5D">
      <w:pPr>
        <w:pStyle w:val="Bibliography"/>
        <w:rPr>
          <w:rFonts w:ascii="Times New Roman" w:hAnsi="Times New Roman" w:cs="Times New Roman"/>
          <w:sz w:val="24"/>
        </w:rPr>
      </w:pPr>
      <w:r w:rsidRPr="0065645B">
        <w:rPr>
          <w:rFonts w:ascii="Times New Roman" w:hAnsi="Times New Roman" w:cs="Times New Roman"/>
          <w:sz w:val="24"/>
          <w:lang w:val="da-DK"/>
        </w:rPr>
        <w:t xml:space="preserve">Imhoff, R., Lange, J., &amp; Germar, M. (2019). </w:t>
      </w:r>
      <w:r w:rsidRPr="00120B5D">
        <w:rPr>
          <w:rFonts w:ascii="Times New Roman" w:hAnsi="Times New Roman" w:cs="Times New Roman"/>
          <w:sz w:val="24"/>
        </w:rPr>
        <w:t xml:space="preserve">Identification and location tasks rely on different mental processes: A diffusion model account of validity effects in spatial cueing paradigms with emotional stimuli. </w:t>
      </w:r>
      <w:r w:rsidRPr="00120B5D">
        <w:rPr>
          <w:rFonts w:ascii="Times New Roman" w:hAnsi="Times New Roman" w:cs="Times New Roman"/>
          <w:i/>
          <w:iCs/>
          <w:sz w:val="24"/>
        </w:rPr>
        <w:t>Cognition and Emotion</w:t>
      </w:r>
      <w:r w:rsidRPr="00120B5D">
        <w:rPr>
          <w:rFonts w:ascii="Times New Roman" w:hAnsi="Times New Roman" w:cs="Times New Roman"/>
          <w:sz w:val="24"/>
        </w:rPr>
        <w:t xml:space="preserve">, </w:t>
      </w:r>
      <w:r w:rsidRPr="00120B5D">
        <w:rPr>
          <w:rFonts w:ascii="Times New Roman" w:hAnsi="Times New Roman" w:cs="Times New Roman"/>
          <w:i/>
          <w:iCs/>
          <w:sz w:val="24"/>
        </w:rPr>
        <w:t>33</w:t>
      </w:r>
      <w:r w:rsidRPr="00120B5D">
        <w:rPr>
          <w:rFonts w:ascii="Times New Roman" w:hAnsi="Times New Roman" w:cs="Times New Roman"/>
          <w:sz w:val="24"/>
        </w:rPr>
        <w:t>(2), 231–244. https://doi.org/10.1080/02699931.2018.1443433</w:t>
      </w:r>
    </w:p>
    <w:p w14:paraId="62C6B13E"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Kruijt, A.-W., Field, A. P., &amp; Fox, E. (2016). Capturing Dynamics of Biased Attention: Are New Attention Variability Measures the Way Forward? </w:t>
      </w:r>
      <w:r w:rsidRPr="00120B5D">
        <w:rPr>
          <w:rFonts w:ascii="Times New Roman" w:hAnsi="Times New Roman" w:cs="Times New Roman"/>
          <w:i/>
          <w:iCs/>
          <w:sz w:val="24"/>
        </w:rPr>
        <w:t>PLOS ONE</w:t>
      </w:r>
      <w:r w:rsidRPr="00120B5D">
        <w:rPr>
          <w:rFonts w:ascii="Times New Roman" w:hAnsi="Times New Roman" w:cs="Times New Roman"/>
          <w:sz w:val="24"/>
        </w:rPr>
        <w:t xml:space="preserve">, </w:t>
      </w:r>
      <w:r w:rsidRPr="00120B5D">
        <w:rPr>
          <w:rFonts w:ascii="Times New Roman" w:hAnsi="Times New Roman" w:cs="Times New Roman"/>
          <w:i/>
          <w:iCs/>
          <w:sz w:val="24"/>
        </w:rPr>
        <w:t>11</w:t>
      </w:r>
      <w:r w:rsidRPr="00120B5D">
        <w:rPr>
          <w:rFonts w:ascii="Times New Roman" w:hAnsi="Times New Roman" w:cs="Times New Roman"/>
          <w:sz w:val="24"/>
        </w:rPr>
        <w:t>(11), e0166600. https://doi.org/10.1371/journal.pone.0166600</w:t>
      </w:r>
    </w:p>
    <w:p w14:paraId="7B8A88D0"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lastRenderedPageBreak/>
        <w:t xml:space="preserve">Kruijt, A.-W., Parsons, S., &amp; Fox, E. (2018). A Meta-Analysis of Bias at Baseline in RCTs of Attention Bias Modification: No Evidence for Dot-Probe Bias Towards Threat in Clinical Anxiety and PTSD. </w:t>
      </w:r>
      <w:r w:rsidRPr="00120B5D">
        <w:rPr>
          <w:rFonts w:ascii="Times New Roman" w:hAnsi="Times New Roman" w:cs="Times New Roman"/>
          <w:i/>
          <w:iCs/>
          <w:sz w:val="24"/>
        </w:rPr>
        <w:t>Journal of Abnormal Psychology</w:t>
      </w:r>
      <w:r w:rsidRPr="00120B5D">
        <w:rPr>
          <w:rFonts w:ascii="Times New Roman" w:hAnsi="Times New Roman" w:cs="Times New Roman"/>
          <w:sz w:val="24"/>
        </w:rPr>
        <w:t>, 11.</w:t>
      </w:r>
    </w:p>
    <w:p w14:paraId="0CAF85FB"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Lang, P. (2008). International affective picture system (IAPS): Affective ratings of pictures and instruction manual. </w:t>
      </w:r>
      <w:r w:rsidRPr="00120B5D">
        <w:rPr>
          <w:rFonts w:ascii="Times New Roman" w:hAnsi="Times New Roman" w:cs="Times New Roman"/>
          <w:i/>
          <w:iCs/>
          <w:sz w:val="24"/>
        </w:rPr>
        <w:t>Technical Report</w:t>
      </w:r>
      <w:r w:rsidRPr="00120B5D">
        <w:rPr>
          <w:rFonts w:ascii="Times New Roman" w:hAnsi="Times New Roman" w:cs="Times New Roman"/>
          <w:sz w:val="24"/>
        </w:rPr>
        <w:t>. https://ci.nii.ac.jp/naid/20001061266/</w:t>
      </w:r>
    </w:p>
    <w:p w14:paraId="44B3AFBF"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Lundqvist, Flykt, A., &amp; Ohman, A. (1998). </w:t>
      </w:r>
      <w:r w:rsidRPr="00120B5D">
        <w:rPr>
          <w:rFonts w:ascii="Times New Roman" w:hAnsi="Times New Roman" w:cs="Times New Roman"/>
          <w:i/>
          <w:iCs/>
          <w:sz w:val="24"/>
        </w:rPr>
        <w:t>The Karolinska Directed Emotional Faces (KDEF)</w:t>
      </w:r>
      <w:r w:rsidRPr="00120B5D">
        <w:rPr>
          <w:rFonts w:ascii="Times New Roman" w:hAnsi="Times New Roman" w:cs="Times New Roman"/>
          <w:sz w:val="24"/>
        </w:rPr>
        <w:t>. Stockholm : Department of Neurosciences Karolinska Hospital.</w:t>
      </w:r>
    </w:p>
    <w:p w14:paraId="3C6A09C1"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MacLeod, C., Mathews, A., &amp; Tata, P. (1986). Attentional bias in emotional disorders. </w:t>
      </w:r>
      <w:r w:rsidRPr="00120B5D">
        <w:rPr>
          <w:rFonts w:ascii="Times New Roman" w:hAnsi="Times New Roman" w:cs="Times New Roman"/>
          <w:i/>
          <w:iCs/>
          <w:sz w:val="24"/>
        </w:rPr>
        <w:t>Journal of Abnormal Psychology</w:t>
      </w:r>
      <w:r w:rsidRPr="00120B5D">
        <w:rPr>
          <w:rFonts w:ascii="Times New Roman" w:hAnsi="Times New Roman" w:cs="Times New Roman"/>
          <w:sz w:val="24"/>
        </w:rPr>
        <w:t xml:space="preserve">, </w:t>
      </w:r>
      <w:r w:rsidRPr="00120B5D">
        <w:rPr>
          <w:rFonts w:ascii="Times New Roman" w:hAnsi="Times New Roman" w:cs="Times New Roman"/>
          <w:i/>
          <w:iCs/>
          <w:sz w:val="24"/>
        </w:rPr>
        <w:t>95</w:t>
      </w:r>
      <w:r w:rsidRPr="00120B5D">
        <w:rPr>
          <w:rFonts w:ascii="Times New Roman" w:hAnsi="Times New Roman" w:cs="Times New Roman"/>
          <w:sz w:val="24"/>
        </w:rPr>
        <w:t>(1), 15–20. https://doi.org/10.1037/0021-843X.95.1.15</w:t>
      </w:r>
    </w:p>
    <w:p w14:paraId="4B050302"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Mogg, K., &amp; Bradley, B. P. (1998). A cognitive-motivational analysis of anxiety. </w:t>
      </w:r>
      <w:r w:rsidRPr="00120B5D">
        <w:rPr>
          <w:rFonts w:ascii="Times New Roman" w:hAnsi="Times New Roman" w:cs="Times New Roman"/>
          <w:i/>
          <w:iCs/>
          <w:sz w:val="24"/>
        </w:rPr>
        <w:t>Behaviour Research and Therapy</w:t>
      </w:r>
      <w:r w:rsidRPr="00120B5D">
        <w:rPr>
          <w:rFonts w:ascii="Times New Roman" w:hAnsi="Times New Roman" w:cs="Times New Roman"/>
          <w:sz w:val="24"/>
        </w:rPr>
        <w:t xml:space="preserve">, </w:t>
      </w:r>
      <w:r w:rsidRPr="00120B5D">
        <w:rPr>
          <w:rFonts w:ascii="Times New Roman" w:hAnsi="Times New Roman" w:cs="Times New Roman"/>
          <w:i/>
          <w:iCs/>
          <w:sz w:val="24"/>
        </w:rPr>
        <w:t>36</w:t>
      </w:r>
      <w:r w:rsidRPr="00120B5D">
        <w:rPr>
          <w:rFonts w:ascii="Times New Roman" w:hAnsi="Times New Roman" w:cs="Times New Roman"/>
          <w:sz w:val="24"/>
        </w:rPr>
        <w:t>(9), 809–848. https://doi.org/10.1016/S0005-7967(98)00063-1</w:t>
      </w:r>
    </w:p>
    <w:p w14:paraId="1A515206"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Mogg, K., Waters, A. M., &amp; Bradley, B. P. (2017). Attention Bias Modification (ABM): Review of Effects of Multisession ABM Training on Anxiety and Threat-Related Attention in High-Anxious Individuals. </w:t>
      </w:r>
      <w:r w:rsidRPr="00120B5D">
        <w:rPr>
          <w:rFonts w:ascii="Times New Roman" w:hAnsi="Times New Roman" w:cs="Times New Roman"/>
          <w:i/>
          <w:iCs/>
          <w:sz w:val="24"/>
        </w:rPr>
        <w:t>Clinical Psychological Science</w:t>
      </w:r>
      <w:r w:rsidRPr="00120B5D">
        <w:rPr>
          <w:rFonts w:ascii="Times New Roman" w:hAnsi="Times New Roman" w:cs="Times New Roman"/>
          <w:sz w:val="24"/>
        </w:rPr>
        <w:t xml:space="preserve">, </w:t>
      </w:r>
      <w:r w:rsidRPr="00120B5D">
        <w:rPr>
          <w:rFonts w:ascii="Times New Roman" w:hAnsi="Times New Roman" w:cs="Times New Roman"/>
          <w:i/>
          <w:iCs/>
          <w:sz w:val="24"/>
        </w:rPr>
        <w:t>5</w:t>
      </w:r>
      <w:r w:rsidRPr="00120B5D">
        <w:rPr>
          <w:rFonts w:ascii="Times New Roman" w:hAnsi="Times New Roman" w:cs="Times New Roman"/>
          <w:sz w:val="24"/>
        </w:rPr>
        <w:t>(4), 698–717. https://doi.org/10.1177/2167702617696359</w:t>
      </w:r>
    </w:p>
    <w:p w14:paraId="3CC4720B"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Panksepp, J., &amp; Watt, D. (2011). What is Basic about Basic Emotions? Lasting Lessons from Affective Neuroscience. </w:t>
      </w:r>
      <w:r w:rsidRPr="00120B5D">
        <w:rPr>
          <w:rFonts w:ascii="Times New Roman" w:hAnsi="Times New Roman" w:cs="Times New Roman"/>
          <w:i/>
          <w:iCs/>
          <w:sz w:val="24"/>
        </w:rPr>
        <w:t>Emotion Review</w:t>
      </w:r>
      <w:r w:rsidRPr="00120B5D">
        <w:rPr>
          <w:rFonts w:ascii="Times New Roman" w:hAnsi="Times New Roman" w:cs="Times New Roman"/>
          <w:sz w:val="24"/>
        </w:rPr>
        <w:t xml:space="preserve">, </w:t>
      </w:r>
      <w:r w:rsidRPr="00120B5D">
        <w:rPr>
          <w:rFonts w:ascii="Times New Roman" w:hAnsi="Times New Roman" w:cs="Times New Roman"/>
          <w:i/>
          <w:iCs/>
          <w:sz w:val="24"/>
        </w:rPr>
        <w:t>3</w:t>
      </w:r>
      <w:r w:rsidRPr="00120B5D">
        <w:rPr>
          <w:rFonts w:ascii="Times New Roman" w:hAnsi="Times New Roman" w:cs="Times New Roman"/>
          <w:sz w:val="24"/>
        </w:rPr>
        <w:t>(4), 387–396. https://doi.org/10.1177/1754073911410741</w:t>
      </w:r>
    </w:p>
    <w:p w14:paraId="5757DCDF"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Posner, M. I., Rafal, R. D., Choate, L. S., &amp; Vaughan, J. (1985). Inhibition of return: Neural basis and function. </w:t>
      </w:r>
      <w:r w:rsidRPr="00120B5D">
        <w:rPr>
          <w:rFonts w:ascii="Times New Roman" w:hAnsi="Times New Roman" w:cs="Times New Roman"/>
          <w:i/>
          <w:iCs/>
          <w:sz w:val="24"/>
        </w:rPr>
        <w:t>Cognitive Neuropsychology</w:t>
      </w:r>
      <w:r w:rsidRPr="00120B5D">
        <w:rPr>
          <w:rFonts w:ascii="Times New Roman" w:hAnsi="Times New Roman" w:cs="Times New Roman"/>
          <w:sz w:val="24"/>
        </w:rPr>
        <w:t xml:space="preserve">, </w:t>
      </w:r>
      <w:r w:rsidRPr="00120B5D">
        <w:rPr>
          <w:rFonts w:ascii="Times New Roman" w:hAnsi="Times New Roman" w:cs="Times New Roman"/>
          <w:i/>
          <w:iCs/>
          <w:sz w:val="24"/>
        </w:rPr>
        <w:t>2</w:t>
      </w:r>
      <w:r w:rsidRPr="00120B5D">
        <w:rPr>
          <w:rFonts w:ascii="Times New Roman" w:hAnsi="Times New Roman" w:cs="Times New Roman"/>
          <w:sz w:val="24"/>
        </w:rPr>
        <w:t>(3), 211–228. https://doi.org/10.1080/02643298508252866</w:t>
      </w:r>
    </w:p>
    <w:p w14:paraId="60C13EC9"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lastRenderedPageBreak/>
        <w:t xml:space="preserve">Schmukle, S. C. (2005). Unreliability of the dot probe task. </w:t>
      </w:r>
      <w:r w:rsidRPr="00120B5D">
        <w:rPr>
          <w:rFonts w:ascii="Times New Roman" w:hAnsi="Times New Roman" w:cs="Times New Roman"/>
          <w:i/>
          <w:iCs/>
          <w:sz w:val="24"/>
        </w:rPr>
        <w:t>European Journal of Personality</w:t>
      </w:r>
      <w:r w:rsidRPr="00120B5D">
        <w:rPr>
          <w:rFonts w:ascii="Times New Roman" w:hAnsi="Times New Roman" w:cs="Times New Roman"/>
          <w:sz w:val="24"/>
        </w:rPr>
        <w:t xml:space="preserve">, </w:t>
      </w:r>
      <w:r w:rsidRPr="00120B5D">
        <w:rPr>
          <w:rFonts w:ascii="Times New Roman" w:hAnsi="Times New Roman" w:cs="Times New Roman"/>
          <w:i/>
          <w:iCs/>
          <w:sz w:val="24"/>
        </w:rPr>
        <w:t>19</w:t>
      </w:r>
      <w:r w:rsidRPr="00120B5D">
        <w:rPr>
          <w:rFonts w:ascii="Times New Roman" w:hAnsi="Times New Roman" w:cs="Times New Roman"/>
          <w:sz w:val="24"/>
        </w:rPr>
        <w:t>(7), 595–605. https://doi.org/10.1002/per.554</w:t>
      </w:r>
    </w:p>
    <w:p w14:paraId="709294CF" w14:textId="77777777" w:rsidR="00120B5D" w:rsidRPr="00120B5D" w:rsidRDefault="00120B5D" w:rsidP="00120B5D">
      <w:pPr>
        <w:pStyle w:val="Bibliography"/>
        <w:rPr>
          <w:rFonts w:ascii="Times New Roman" w:hAnsi="Times New Roman" w:cs="Times New Roman"/>
          <w:sz w:val="24"/>
        </w:rPr>
      </w:pPr>
      <w:r w:rsidRPr="0065645B">
        <w:rPr>
          <w:rFonts w:ascii="Times New Roman" w:hAnsi="Times New Roman" w:cs="Times New Roman"/>
          <w:sz w:val="24"/>
          <w:lang w:val="nl-NL"/>
        </w:rPr>
        <w:t xml:space="preserve">Schubö, A., Gendolla, G. H. E., Meinecke, C., &amp; Abele, A. E. (2006). </w:t>
      </w:r>
      <w:r w:rsidRPr="00120B5D">
        <w:rPr>
          <w:rFonts w:ascii="Times New Roman" w:hAnsi="Times New Roman" w:cs="Times New Roman"/>
          <w:sz w:val="24"/>
        </w:rPr>
        <w:t xml:space="preserve">Detecting emotional faces and features in a visual search paradigm: Are faces special? </w:t>
      </w:r>
      <w:r w:rsidRPr="00120B5D">
        <w:rPr>
          <w:rFonts w:ascii="Times New Roman" w:hAnsi="Times New Roman" w:cs="Times New Roman"/>
          <w:i/>
          <w:iCs/>
          <w:sz w:val="24"/>
        </w:rPr>
        <w:t>Emotion</w:t>
      </w:r>
      <w:r w:rsidRPr="00120B5D">
        <w:rPr>
          <w:rFonts w:ascii="Times New Roman" w:hAnsi="Times New Roman" w:cs="Times New Roman"/>
          <w:sz w:val="24"/>
        </w:rPr>
        <w:t xml:space="preserve">, </w:t>
      </w:r>
      <w:r w:rsidRPr="00120B5D">
        <w:rPr>
          <w:rFonts w:ascii="Times New Roman" w:hAnsi="Times New Roman" w:cs="Times New Roman"/>
          <w:i/>
          <w:iCs/>
          <w:sz w:val="24"/>
        </w:rPr>
        <w:t>6</w:t>
      </w:r>
      <w:r w:rsidRPr="00120B5D">
        <w:rPr>
          <w:rFonts w:ascii="Times New Roman" w:hAnsi="Times New Roman" w:cs="Times New Roman"/>
          <w:sz w:val="24"/>
        </w:rPr>
        <w:t>(2), 246–256. https://doi.org/10.1037/1528-3542.6.2.246</w:t>
      </w:r>
    </w:p>
    <w:p w14:paraId="4263C9B4"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Staugaard, S. R. (2009). Reliability of two versions of the dot-probe task using photographic faces. </w:t>
      </w:r>
      <w:r w:rsidRPr="00120B5D">
        <w:rPr>
          <w:rFonts w:ascii="Times New Roman" w:hAnsi="Times New Roman" w:cs="Times New Roman"/>
          <w:i/>
          <w:iCs/>
          <w:sz w:val="24"/>
        </w:rPr>
        <w:t>Psychological Science Quarterly</w:t>
      </w:r>
      <w:r w:rsidRPr="00120B5D">
        <w:rPr>
          <w:rFonts w:ascii="Times New Roman" w:hAnsi="Times New Roman" w:cs="Times New Roman"/>
          <w:sz w:val="24"/>
        </w:rPr>
        <w:t xml:space="preserve">, </w:t>
      </w:r>
      <w:r w:rsidRPr="00120B5D">
        <w:rPr>
          <w:rFonts w:ascii="Times New Roman" w:hAnsi="Times New Roman" w:cs="Times New Roman"/>
          <w:i/>
          <w:iCs/>
          <w:sz w:val="24"/>
        </w:rPr>
        <w:t>51</w:t>
      </w:r>
      <w:r w:rsidRPr="00120B5D">
        <w:rPr>
          <w:rFonts w:ascii="Times New Roman" w:hAnsi="Times New Roman" w:cs="Times New Roman"/>
          <w:sz w:val="24"/>
        </w:rPr>
        <w:t>(3), 339–350.</w:t>
      </w:r>
    </w:p>
    <w:p w14:paraId="093DC5A7"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Waters, A. J., Sayette, M. A., Franken, I. H. A., &amp; Schwartz, J. E. (2005). Generalizability of carry-over effects in the emotional Stroop task. </w:t>
      </w:r>
      <w:r w:rsidRPr="00120B5D">
        <w:rPr>
          <w:rFonts w:ascii="Times New Roman" w:hAnsi="Times New Roman" w:cs="Times New Roman"/>
          <w:i/>
          <w:iCs/>
          <w:sz w:val="24"/>
        </w:rPr>
        <w:t>Behaviour Research and Therapy</w:t>
      </w:r>
      <w:r w:rsidRPr="00120B5D">
        <w:rPr>
          <w:rFonts w:ascii="Times New Roman" w:hAnsi="Times New Roman" w:cs="Times New Roman"/>
          <w:sz w:val="24"/>
        </w:rPr>
        <w:t xml:space="preserve">, </w:t>
      </w:r>
      <w:r w:rsidRPr="00120B5D">
        <w:rPr>
          <w:rFonts w:ascii="Times New Roman" w:hAnsi="Times New Roman" w:cs="Times New Roman"/>
          <w:i/>
          <w:iCs/>
          <w:sz w:val="24"/>
        </w:rPr>
        <w:t>43</w:t>
      </w:r>
      <w:r w:rsidRPr="00120B5D">
        <w:rPr>
          <w:rFonts w:ascii="Times New Roman" w:hAnsi="Times New Roman" w:cs="Times New Roman"/>
          <w:sz w:val="24"/>
        </w:rPr>
        <w:t>(6), 715–732. https://doi.org/10.1016/j.brat.2004.06.003</w:t>
      </w:r>
    </w:p>
    <w:p w14:paraId="21D4412E"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Wilson, S. J., Sayette, M. A., Fiez, J. A., &amp; Brough, E. (2007). Carry-over effects of smoking cue exposure on working memory performance. </w:t>
      </w:r>
      <w:r w:rsidRPr="00120B5D">
        <w:rPr>
          <w:rFonts w:ascii="Times New Roman" w:hAnsi="Times New Roman" w:cs="Times New Roman"/>
          <w:i/>
          <w:iCs/>
          <w:sz w:val="24"/>
        </w:rPr>
        <w:t>Nicotine &amp; Tobacco Research</w:t>
      </w:r>
      <w:r w:rsidRPr="00120B5D">
        <w:rPr>
          <w:rFonts w:ascii="Times New Roman" w:hAnsi="Times New Roman" w:cs="Times New Roman"/>
          <w:sz w:val="24"/>
        </w:rPr>
        <w:t xml:space="preserve">, </w:t>
      </w:r>
      <w:r w:rsidRPr="00120B5D">
        <w:rPr>
          <w:rFonts w:ascii="Times New Roman" w:hAnsi="Times New Roman" w:cs="Times New Roman"/>
          <w:i/>
          <w:iCs/>
          <w:sz w:val="24"/>
        </w:rPr>
        <w:t>9</w:t>
      </w:r>
      <w:r w:rsidRPr="00120B5D">
        <w:rPr>
          <w:rFonts w:ascii="Times New Roman" w:hAnsi="Times New Roman" w:cs="Times New Roman"/>
          <w:sz w:val="24"/>
        </w:rPr>
        <w:t>(5), 613–619. https://doi.org/10.1080/14622200701243144</w:t>
      </w:r>
    </w:p>
    <w:p w14:paraId="66D54D50" w14:textId="77777777" w:rsidR="00120B5D" w:rsidRPr="00120B5D" w:rsidRDefault="00120B5D" w:rsidP="00120B5D">
      <w:pPr>
        <w:pStyle w:val="Bibliography"/>
        <w:rPr>
          <w:rFonts w:ascii="Times New Roman" w:hAnsi="Times New Roman" w:cs="Times New Roman"/>
          <w:sz w:val="24"/>
        </w:rPr>
      </w:pPr>
      <w:r w:rsidRPr="00120B5D">
        <w:rPr>
          <w:rFonts w:ascii="Times New Roman" w:hAnsi="Times New Roman" w:cs="Times New Roman"/>
          <w:sz w:val="24"/>
        </w:rPr>
        <w:t xml:space="preserve">Zvielli, A., Bernstein, A., &amp; Koster, E. H. W. (2015). Temporal Dynamics of Attentional Bias. </w:t>
      </w:r>
      <w:r w:rsidRPr="00120B5D">
        <w:rPr>
          <w:rFonts w:ascii="Times New Roman" w:hAnsi="Times New Roman" w:cs="Times New Roman"/>
          <w:i/>
          <w:iCs/>
          <w:sz w:val="24"/>
        </w:rPr>
        <w:t>Clinical Psychological Science</w:t>
      </w:r>
      <w:r w:rsidRPr="00120B5D">
        <w:rPr>
          <w:rFonts w:ascii="Times New Roman" w:hAnsi="Times New Roman" w:cs="Times New Roman"/>
          <w:sz w:val="24"/>
        </w:rPr>
        <w:t xml:space="preserve">, </w:t>
      </w:r>
      <w:r w:rsidRPr="00120B5D">
        <w:rPr>
          <w:rFonts w:ascii="Times New Roman" w:hAnsi="Times New Roman" w:cs="Times New Roman"/>
          <w:i/>
          <w:iCs/>
          <w:sz w:val="24"/>
        </w:rPr>
        <w:t>3</w:t>
      </w:r>
      <w:r w:rsidRPr="00120B5D">
        <w:rPr>
          <w:rFonts w:ascii="Times New Roman" w:hAnsi="Times New Roman" w:cs="Times New Roman"/>
          <w:sz w:val="24"/>
        </w:rPr>
        <w:t>(5), 772–788. https://doi.org/10.1177/2167702614551572</w:t>
      </w:r>
    </w:p>
    <w:p w14:paraId="7D857CDE" w14:textId="731EA993" w:rsidR="00A05BCF" w:rsidRDefault="008718CC">
      <w:pPr>
        <w:spacing w:line="240" w:lineRule="auto"/>
        <w:contextualSpacing/>
        <w:jc w:val="center"/>
        <w:rPr>
          <w:rFonts w:ascii="Times New Roman" w:hAnsi="Times New Roman" w:cs="Times New Roman"/>
          <w:b/>
          <w:bCs/>
          <w:sz w:val="24"/>
          <w:szCs w:val="24"/>
        </w:rPr>
      </w:pPr>
      <w:r>
        <w:fldChar w:fldCharType="end"/>
      </w:r>
    </w:p>
    <w:sectPr w:rsidR="00A05BCF">
      <w:headerReference w:type="default" r:id="rId16"/>
      <w:pgSz w:w="12240" w:h="15840"/>
      <w:pgMar w:top="2023" w:right="1440" w:bottom="1440" w:left="1440" w:header="144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B96F9" w14:textId="77777777" w:rsidR="00DD6C59" w:rsidRDefault="00DD6C59">
      <w:pPr>
        <w:spacing w:after="0" w:line="240" w:lineRule="auto"/>
      </w:pPr>
      <w:r>
        <w:separator/>
      </w:r>
    </w:p>
  </w:endnote>
  <w:endnote w:type="continuationSeparator" w:id="0">
    <w:p w14:paraId="0724B56A" w14:textId="77777777" w:rsidR="00DD6C59" w:rsidRDefault="00DD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Noto Sans CJK SC">
    <w:panose1 w:val="020B0502040504020204"/>
    <w:charset w:val="00"/>
    <w:family w:val="roman"/>
    <w:notTrueType/>
    <w:pitch w:val="default"/>
  </w:font>
  <w:font w:name="Noto Sans Devanagari">
    <w:altName w:val="Cambria"/>
    <w:panose1 w:val="020B0502040504020204"/>
    <w:charset w:val="00"/>
    <w:family w:val="swiss"/>
    <w:pitch w:val="variable"/>
    <w:sig w:usb0="80008023" w:usb1="00002046" w:usb2="00000000" w:usb3="00000000" w:csb0="00000001"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C6BD1" w14:textId="77777777" w:rsidR="00DD6C59" w:rsidRDefault="00DD6C59">
      <w:pPr>
        <w:spacing w:after="0" w:line="240" w:lineRule="auto"/>
      </w:pPr>
      <w:r>
        <w:separator/>
      </w:r>
    </w:p>
  </w:footnote>
  <w:footnote w:type="continuationSeparator" w:id="0">
    <w:p w14:paraId="149A187F" w14:textId="77777777" w:rsidR="00DD6C59" w:rsidRDefault="00DD6C59">
      <w:pPr>
        <w:spacing w:after="0" w:line="240" w:lineRule="auto"/>
      </w:pPr>
      <w:r>
        <w:continuationSeparator/>
      </w:r>
    </w:p>
  </w:footnote>
  <w:footnote w:id="1">
    <w:p w14:paraId="7D5D8FCD" w14:textId="68C006E1" w:rsidR="00C975F0" w:rsidRDefault="00C975F0">
      <w:pPr>
        <w:pStyle w:val="FootnoteText"/>
      </w:pPr>
      <w:bookmarkStart w:id="1" w:name="_Hlk89944320"/>
      <w:r w:rsidRPr="0020491F">
        <w:rPr>
          <w:rStyle w:val="FootnoteReference"/>
          <w:color w:val="4472C4" w:themeColor="accent1"/>
        </w:rPr>
        <w:footnoteRef/>
      </w:r>
      <w:r w:rsidRPr="0020491F">
        <w:rPr>
          <w:color w:val="4472C4" w:themeColor="accent1"/>
        </w:rPr>
        <w:t xml:space="preserve"> </w:t>
      </w:r>
      <w:r w:rsidR="0020491F" w:rsidRPr="0020491F">
        <w:rPr>
          <w:color w:val="4472C4" w:themeColor="accent1"/>
        </w:rPr>
        <w:t xml:space="preserve">We also tested a model with a random slope for congruency x previous congruency x target location repetition interaction. Although </w:t>
      </w:r>
      <w:r w:rsidR="00003026">
        <w:rPr>
          <w:color w:val="4472C4" w:themeColor="accent1"/>
        </w:rPr>
        <w:t>this</w:t>
      </w:r>
      <w:r w:rsidR="0020491F" w:rsidRPr="0020491F">
        <w:rPr>
          <w:color w:val="4472C4" w:themeColor="accent1"/>
        </w:rPr>
        <w:t xml:space="preserve"> model fit our data better (AIC</w:t>
      </w:r>
      <w:r w:rsidR="0020491F" w:rsidRPr="0020491F">
        <w:rPr>
          <w:color w:val="4472C4" w:themeColor="accent1"/>
          <w:vertAlign w:val="subscript"/>
        </w:rPr>
        <w:t>without random slope</w:t>
      </w:r>
      <w:r w:rsidR="0020491F" w:rsidRPr="0020491F">
        <w:rPr>
          <w:color w:val="4472C4" w:themeColor="accent1"/>
        </w:rPr>
        <w:t xml:space="preserve"> = -26903.474 whereas AIC</w:t>
      </w:r>
      <w:r w:rsidR="0020491F" w:rsidRPr="0020491F">
        <w:rPr>
          <w:color w:val="4472C4" w:themeColor="accent1"/>
          <w:vertAlign w:val="subscript"/>
        </w:rPr>
        <w:t>with random slope</w:t>
      </w:r>
      <w:r w:rsidR="0020491F" w:rsidRPr="0020491F">
        <w:rPr>
          <w:color w:val="4472C4" w:themeColor="accent1"/>
        </w:rPr>
        <w:t xml:space="preserve"> = -27133.846</w:t>
      </w:r>
      <w:r w:rsidR="002F34EA">
        <w:rPr>
          <w:color w:val="4472C4" w:themeColor="accent1"/>
        </w:rPr>
        <w:t>;</w:t>
      </w:r>
      <w:r w:rsidR="0020491F" w:rsidRPr="0020491F">
        <w:rPr>
          <w:color w:val="4472C4" w:themeColor="accent1"/>
        </w:rPr>
        <w:t>models with smaller AIC values fit better), the significant levels of all the fixed effect</w:t>
      </w:r>
      <w:r w:rsidR="002F34EA">
        <w:rPr>
          <w:color w:val="4472C4" w:themeColor="accent1"/>
        </w:rPr>
        <w:t>s</w:t>
      </w:r>
      <w:r w:rsidR="0020491F" w:rsidRPr="0020491F">
        <w:rPr>
          <w:color w:val="4472C4" w:themeColor="accent1"/>
        </w:rPr>
        <w:t xml:space="preserve"> for this model was very similar to the one reported in the main text, where there was no significant carryover effect.</w:t>
      </w:r>
      <w:bookmarkEnd w:id="1"/>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4E6D" w14:textId="77777777" w:rsidR="00A05BCF" w:rsidRDefault="008718CC">
    <w:pPr>
      <w:pStyle w:val="Header"/>
      <w:jc w:val="right"/>
    </w:pPr>
    <w:r>
      <w:fldChar w:fldCharType="begin"/>
    </w:r>
    <w:r>
      <w:instrText>PAGE</w:instrText>
    </w:r>
    <w:r>
      <w:fldChar w:fldCharType="separate"/>
    </w:r>
    <w:r>
      <w:t>12</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removePersonalInformation/>
  <w:removeDateAndTim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CF"/>
    <w:rsid w:val="00003026"/>
    <w:rsid w:val="000074FE"/>
    <w:rsid w:val="000405AC"/>
    <w:rsid w:val="000478B9"/>
    <w:rsid w:val="000520D8"/>
    <w:rsid w:val="0009171F"/>
    <w:rsid w:val="000934CA"/>
    <w:rsid w:val="000A5A44"/>
    <w:rsid w:val="000A7345"/>
    <w:rsid w:val="000B20F3"/>
    <w:rsid w:val="000B4201"/>
    <w:rsid w:val="000B5A39"/>
    <w:rsid w:val="000C12C8"/>
    <w:rsid w:val="000C1AE0"/>
    <w:rsid w:val="000C456C"/>
    <w:rsid w:val="00120B5D"/>
    <w:rsid w:val="001320C0"/>
    <w:rsid w:val="00177FE1"/>
    <w:rsid w:val="00185D28"/>
    <w:rsid w:val="001A32AB"/>
    <w:rsid w:val="001A496C"/>
    <w:rsid w:val="001C47ED"/>
    <w:rsid w:val="001D1F9A"/>
    <w:rsid w:val="0020128E"/>
    <w:rsid w:val="0020491F"/>
    <w:rsid w:val="00210CF0"/>
    <w:rsid w:val="002406D5"/>
    <w:rsid w:val="002409E6"/>
    <w:rsid w:val="00247C9F"/>
    <w:rsid w:val="002725A5"/>
    <w:rsid w:val="0027288A"/>
    <w:rsid w:val="002B5D4E"/>
    <w:rsid w:val="002F34EA"/>
    <w:rsid w:val="00302C93"/>
    <w:rsid w:val="003153F1"/>
    <w:rsid w:val="00321D8D"/>
    <w:rsid w:val="00360E25"/>
    <w:rsid w:val="003613F8"/>
    <w:rsid w:val="00364EBE"/>
    <w:rsid w:val="0039230F"/>
    <w:rsid w:val="003A44C5"/>
    <w:rsid w:val="003A502E"/>
    <w:rsid w:val="003A75C9"/>
    <w:rsid w:val="003B486B"/>
    <w:rsid w:val="003E2EDA"/>
    <w:rsid w:val="00400012"/>
    <w:rsid w:val="00405898"/>
    <w:rsid w:val="004271D2"/>
    <w:rsid w:val="004450ED"/>
    <w:rsid w:val="004504A3"/>
    <w:rsid w:val="004818BA"/>
    <w:rsid w:val="0048323D"/>
    <w:rsid w:val="0048504B"/>
    <w:rsid w:val="004A068C"/>
    <w:rsid w:val="004A4A16"/>
    <w:rsid w:val="004B1F50"/>
    <w:rsid w:val="004D1880"/>
    <w:rsid w:val="004D5014"/>
    <w:rsid w:val="004E1381"/>
    <w:rsid w:val="004F5531"/>
    <w:rsid w:val="005400C7"/>
    <w:rsid w:val="00597D95"/>
    <w:rsid w:val="005D521E"/>
    <w:rsid w:val="005E1A68"/>
    <w:rsid w:val="005E2AA4"/>
    <w:rsid w:val="00606596"/>
    <w:rsid w:val="00610647"/>
    <w:rsid w:val="00615A98"/>
    <w:rsid w:val="006318E3"/>
    <w:rsid w:val="006444D4"/>
    <w:rsid w:val="0065645B"/>
    <w:rsid w:val="00671A3A"/>
    <w:rsid w:val="00683E2F"/>
    <w:rsid w:val="006955F7"/>
    <w:rsid w:val="00695D4C"/>
    <w:rsid w:val="006A266C"/>
    <w:rsid w:val="006C35B3"/>
    <w:rsid w:val="006C6AFD"/>
    <w:rsid w:val="006C7BEC"/>
    <w:rsid w:val="006D17A5"/>
    <w:rsid w:val="006E011F"/>
    <w:rsid w:val="00721DC5"/>
    <w:rsid w:val="0073151A"/>
    <w:rsid w:val="00737A33"/>
    <w:rsid w:val="0076067F"/>
    <w:rsid w:val="00760B39"/>
    <w:rsid w:val="00764A72"/>
    <w:rsid w:val="00766257"/>
    <w:rsid w:val="007758DD"/>
    <w:rsid w:val="0077628C"/>
    <w:rsid w:val="00780F06"/>
    <w:rsid w:val="007815D9"/>
    <w:rsid w:val="00784548"/>
    <w:rsid w:val="007A47DB"/>
    <w:rsid w:val="007C5080"/>
    <w:rsid w:val="007C6C16"/>
    <w:rsid w:val="00812095"/>
    <w:rsid w:val="00827FBA"/>
    <w:rsid w:val="00844EF7"/>
    <w:rsid w:val="0084700D"/>
    <w:rsid w:val="00864F28"/>
    <w:rsid w:val="008718CC"/>
    <w:rsid w:val="00884DC3"/>
    <w:rsid w:val="0089093A"/>
    <w:rsid w:val="008912EE"/>
    <w:rsid w:val="008F59AF"/>
    <w:rsid w:val="00904D93"/>
    <w:rsid w:val="00905621"/>
    <w:rsid w:val="00922216"/>
    <w:rsid w:val="00934327"/>
    <w:rsid w:val="00975C8A"/>
    <w:rsid w:val="009B03B0"/>
    <w:rsid w:val="009C1040"/>
    <w:rsid w:val="009D71B6"/>
    <w:rsid w:val="00A05BCF"/>
    <w:rsid w:val="00A10FFB"/>
    <w:rsid w:val="00A35091"/>
    <w:rsid w:val="00A53A11"/>
    <w:rsid w:val="00A60E5C"/>
    <w:rsid w:val="00A87262"/>
    <w:rsid w:val="00A9221C"/>
    <w:rsid w:val="00B27B7C"/>
    <w:rsid w:val="00B34684"/>
    <w:rsid w:val="00B36EB8"/>
    <w:rsid w:val="00B51B38"/>
    <w:rsid w:val="00B571BA"/>
    <w:rsid w:val="00B85ECE"/>
    <w:rsid w:val="00BA5A1E"/>
    <w:rsid w:val="00BA6C9C"/>
    <w:rsid w:val="00BC039F"/>
    <w:rsid w:val="00BC0456"/>
    <w:rsid w:val="00BC5013"/>
    <w:rsid w:val="00BF14A5"/>
    <w:rsid w:val="00C1799E"/>
    <w:rsid w:val="00C412CC"/>
    <w:rsid w:val="00C75680"/>
    <w:rsid w:val="00C975F0"/>
    <w:rsid w:val="00CE6E12"/>
    <w:rsid w:val="00D06EA7"/>
    <w:rsid w:val="00D250C9"/>
    <w:rsid w:val="00D42FDD"/>
    <w:rsid w:val="00D57932"/>
    <w:rsid w:val="00DB1F31"/>
    <w:rsid w:val="00DC494E"/>
    <w:rsid w:val="00DD6C59"/>
    <w:rsid w:val="00DE0AF8"/>
    <w:rsid w:val="00DE65A6"/>
    <w:rsid w:val="00DF76FA"/>
    <w:rsid w:val="00E4663F"/>
    <w:rsid w:val="00E54222"/>
    <w:rsid w:val="00E61631"/>
    <w:rsid w:val="00E80BA2"/>
    <w:rsid w:val="00E82145"/>
    <w:rsid w:val="00E83FF9"/>
    <w:rsid w:val="00E8566F"/>
    <w:rsid w:val="00E878C8"/>
    <w:rsid w:val="00EB00D9"/>
    <w:rsid w:val="00EC10C3"/>
    <w:rsid w:val="00ED0921"/>
    <w:rsid w:val="00ED211F"/>
    <w:rsid w:val="00F25A01"/>
    <w:rsid w:val="00F26986"/>
    <w:rsid w:val="00F32228"/>
    <w:rsid w:val="00F47D8B"/>
    <w:rsid w:val="00F6508E"/>
    <w:rsid w:val="00F70F60"/>
    <w:rsid w:val="00F83BEC"/>
    <w:rsid w:val="00F85A94"/>
    <w:rsid w:val="00F94324"/>
    <w:rsid w:val="00FC4365"/>
    <w:rsid w:val="00FC5968"/>
    <w:rsid w:val="00FD5E5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3A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8A1"/>
    <w:pPr>
      <w:spacing w:after="160" w:line="259" w:lineRule="auto"/>
    </w:pPr>
  </w:style>
  <w:style w:type="paragraph" w:styleId="Heading1">
    <w:name w:val="heading 1"/>
    <w:basedOn w:val="Normal"/>
    <w:next w:val="Normal"/>
    <w:link w:val="Heading1Char"/>
    <w:uiPriority w:val="9"/>
    <w:qFormat/>
    <w:rsid w:val="003C76F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C76F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C76F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76F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76F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76F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76F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76F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76F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C76F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qFormat/>
    <w:rsid w:val="003C76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3C76F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sid w:val="003C76F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qFormat/>
    <w:rsid w:val="003C76F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sid w:val="003C76F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sid w:val="003C76F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qFormat/>
    <w:rsid w:val="003C76F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sid w:val="003C76F4"/>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sid w:val="003C76F4"/>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sid w:val="003C76F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C76F4"/>
    <w:rPr>
      <w:b/>
      <w:bCs/>
    </w:rPr>
  </w:style>
  <w:style w:type="character" w:styleId="Emphasis">
    <w:name w:val="Emphasis"/>
    <w:basedOn w:val="DefaultParagraphFont"/>
    <w:uiPriority w:val="20"/>
    <w:qFormat/>
    <w:rsid w:val="003C76F4"/>
    <w:rPr>
      <w:i/>
      <w:iCs/>
    </w:rPr>
  </w:style>
  <w:style w:type="character" w:customStyle="1" w:styleId="QuoteChar">
    <w:name w:val="Quote Char"/>
    <w:basedOn w:val="DefaultParagraphFont"/>
    <w:link w:val="Quote"/>
    <w:uiPriority w:val="29"/>
    <w:qFormat/>
    <w:rsid w:val="003C76F4"/>
    <w:rPr>
      <w:color w:val="44546A" w:themeColor="text2"/>
      <w:sz w:val="24"/>
      <w:szCs w:val="24"/>
    </w:rPr>
  </w:style>
  <w:style w:type="character" w:customStyle="1" w:styleId="IntenseQuoteChar">
    <w:name w:val="Intense Quote Char"/>
    <w:basedOn w:val="DefaultParagraphFont"/>
    <w:link w:val="IntenseQuote"/>
    <w:uiPriority w:val="30"/>
    <w:qFormat/>
    <w:rsid w:val="003C76F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76F4"/>
    <w:rPr>
      <w:i/>
      <w:iCs/>
      <w:color w:val="595959" w:themeColor="text1" w:themeTint="A6"/>
    </w:rPr>
  </w:style>
  <w:style w:type="character" w:styleId="IntenseEmphasis">
    <w:name w:val="Intense Emphasis"/>
    <w:basedOn w:val="DefaultParagraphFont"/>
    <w:uiPriority w:val="21"/>
    <w:qFormat/>
    <w:rsid w:val="003C76F4"/>
    <w:rPr>
      <w:b/>
      <w:bCs/>
      <w:i/>
      <w:iCs/>
    </w:rPr>
  </w:style>
  <w:style w:type="character" w:styleId="SubtleReference">
    <w:name w:val="Subtle Reference"/>
    <w:basedOn w:val="DefaultParagraphFont"/>
    <w:uiPriority w:val="31"/>
    <w:qFormat/>
    <w:rsid w:val="003C76F4"/>
    <w:rPr>
      <w:smallCaps/>
      <w:color w:val="595959" w:themeColor="text1" w:themeTint="A6"/>
      <w:u w:val="none" w:color="7F7F7F"/>
    </w:rPr>
  </w:style>
  <w:style w:type="character" w:styleId="IntenseReference">
    <w:name w:val="Intense Reference"/>
    <w:basedOn w:val="DefaultParagraphFont"/>
    <w:uiPriority w:val="32"/>
    <w:qFormat/>
    <w:rsid w:val="003C76F4"/>
    <w:rPr>
      <w:b/>
      <w:bCs/>
      <w:smallCaps/>
      <w:color w:val="44546A" w:themeColor="text2"/>
      <w:u w:val="single"/>
    </w:rPr>
  </w:style>
  <w:style w:type="character" w:styleId="BookTitle">
    <w:name w:val="Book Title"/>
    <w:basedOn w:val="DefaultParagraphFont"/>
    <w:uiPriority w:val="33"/>
    <w:qFormat/>
    <w:rsid w:val="003C76F4"/>
    <w:rPr>
      <w:b/>
      <w:bCs/>
      <w:smallCaps/>
      <w:spacing w:val="10"/>
    </w:rPr>
  </w:style>
  <w:style w:type="character" w:styleId="CommentReference">
    <w:name w:val="annotation reference"/>
    <w:basedOn w:val="DefaultParagraphFont"/>
    <w:uiPriority w:val="99"/>
    <w:semiHidden/>
    <w:unhideWhenUsed/>
    <w:qFormat/>
    <w:rsid w:val="008C4255"/>
    <w:rPr>
      <w:sz w:val="16"/>
      <w:szCs w:val="16"/>
    </w:rPr>
  </w:style>
  <w:style w:type="character" w:customStyle="1" w:styleId="CommentTextChar">
    <w:name w:val="Comment Text Char"/>
    <w:basedOn w:val="DefaultParagraphFont"/>
    <w:link w:val="CommentText"/>
    <w:uiPriority w:val="99"/>
    <w:qFormat/>
    <w:rsid w:val="008C4255"/>
    <w:rPr>
      <w:sz w:val="20"/>
      <w:szCs w:val="20"/>
    </w:rPr>
  </w:style>
  <w:style w:type="character" w:customStyle="1" w:styleId="CommentSubjectChar">
    <w:name w:val="Comment Subject Char"/>
    <w:basedOn w:val="CommentTextChar"/>
    <w:link w:val="CommentSubject"/>
    <w:uiPriority w:val="99"/>
    <w:semiHidden/>
    <w:qFormat/>
    <w:rsid w:val="008C4255"/>
    <w:rPr>
      <w:b/>
      <w:bCs/>
      <w:sz w:val="20"/>
      <w:szCs w:val="20"/>
    </w:rPr>
  </w:style>
  <w:style w:type="character" w:customStyle="1" w:styleId="BalloonTextChar">
    <w:name w:val="Balloon Text Char"/>
    <w:basedOn w:val="DefaultParagraphFont"/>
    <w:link w:val="BalloonText"/>
    <w:uiPriority w:val="99"/>
    <w:semiHidden/>
    <w:qFormat/>
    <w:rsid w:val="008C4255"/>
    <w:rPr>
      <w:rFonts w:ascii="Segoe UI" w:hAnsi="Segoe UI" w:cs="Segoe UI"/>
      <w:sz w:val="18"/>
      <w:szCs w:val="18"/>
    </w:rPr>
  </w:style>
  <w:style w:type="character" w:customStyle="1" w:styleId="BodyTextChar">
    <w:name w:val="Body Text Char"/>
    <w:basedOn w:val="DefaultParagraphFont"/>
    <w:link w:val="BodyText"/>
    <w:uiPriority w:val="99"/>
    <w:qFormat/>
    <w:rsid w:val="00830E02"/>
    <w:rPr>
      <w:rFonts w:ascii="Times New Roman" w:hAnsi="Times New Roman" w:cs="Times New Roman"/>
      <w:b/>
      <w:bCs/>
      <w:sz w:val="40"/>
      <w:szCs w:val="40"/>
    </w:rPr>
  </w:style>
  <w:style w:type="character" w:customStyle="1" w:styleId="BodyText2Char">
    <w:name w:val="Body Text 2 Char"/>
    <w:basedOn w:val="DefaultParagraphFont"/>
    <w:link w:val="BodyText2"/>
    <w:uiPriority w:val="99"/>
    <w:qFormat/>
    <w:rsid w:val="00B163A0"/>
    <w:rPr>
      <w:rFonts w:ascii="Times New Roman" w:hAnsi="Times New Roman" w:cs="Times New Roman"/>
      <w:sz w:val="24"/>
      <w:szCs w:val="24"/>
    </w:rPr>
  </w:style>
  <w:style w:type="character" w:customStyle="1" w:styleId="EndNoteBibliographyTitleChar">
    <w:name w:val="EndNote Bibliography Title Char"/>
    <w:basedOn w:val="DefaultParagraphFont"/>
    <w:link w:val="EndNoteBibliographyTitle"/>
    <w:qFormat/>
    <w:rsid w:val="00597576"/>
    <w:rPr>
      <w:rFonts w:ascii="Calibri" w:hAnsi="Calibri" w:cs="Calibri"/>
    </w:rPr>
  </w:style>
  <w:style w:type="character" w:customStyle="1" w:styleId="EndNoteBibliographyChar">
    <w:name w:val="EndNote Bibliography Char"/>
    <w:basedOn w:val="DefaultParagraphFont"/>
    <w:link w:val="EndNoteBibliography"/>
    <w:qFormat/>
    <w:rsid w:val="00597576"/>
    <w:rPr>
      <w:rFonts w:ascii="Calibri" w:hAnsi="Calibri" w:cs="Calibri"/>
    </w:rPr>
  </w:style>
  <w:style w:type="character" w:styleId="Hyperlink">
    <w:name w:val="Hyperlink"/>
    <w:basedOn w:val="DefaultParagraphFont"/>
    <w:uiPriority w:val="99"/>
    <w:unhideWhenUsed/>
    <w:rsid w:val="00CF3E2C"/>
    <w:rPr>
      <w:color w:val="0563C1" w:themeColor="hyperlink"/>
      <w:u w:val="single"/>
    </w:rPr>
  </w:style>
  <w:style w:type="character" w:customStyle="1" w:styleId="UnresolvedMention1">
    <w:name w:val="Unresolved Mention1"/>
    <w:basedOn w:val="DefaultParagraphFont"/>
    <w:uiPriority w:val="99"/>
    <w:semiHidden/>
    <w:unhideWhenUsed/>
    <w:qFormat/>
    <w:rsid w:val="00CF3E2C"/>
    <w:rPr>
      <w:color w:val="605E5C"/>
      <w:shd w:val="clear" w:color="auto" w:fill="E1DFDD"/>
    </w:rPr>
  </w:style>
  <w:style w:type="character" w:customStyle="1" w:styleId="HeaderChar">
    <w:name w:val="Header Char"/>
    <w:basedOn w:val="DefaultParagraphFont"/>
    <w:link w:val="Header"/>
    <w:uiPriority w:val="99"/>
    <w:qFormat/>
    <w:rsid w:val="00BC66BA"/>
  </w:style>
  <w:style w:type="character" w:customStyle="1" w:styleId="FooterChar">
    <w:name w:val="Footer Char"/>
    <w:basedOn w:val="DefaultParagraphFont"/>
    <w:link w:val="Footer"/>
    <w:uiPriority w:val="99"/>
    <w:qFormat/>
    <w:rsid w:val="00BC66BA"/>
  </w:style>
  <w:style w:type="character" w:customStyle="1" w:styleId="BodyTextIndentChar">
    <w:name w:val="Body Text Indent Char"/>
    <w:basedOn w:val="DefaultParagraphFont"/>
    <w:link w:val="BodyTextIndent"/>
    <w:uiPriority w:val="99"/>
    <w:qFormat/>
    <w:rsid w:val="004207CB"/>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qFormat/>
    <w:rsid w:val="00182E5F"/>
    <w:rPr>
      <w:color w:val="605E5C"/>
      <w:shd w:val="clear" w:color="auto" w:fill="E1DFDD"/>
    </w:rPr>
  </w:style>
  <w:style w:type="character" w:customStyle="1" w:styleId="FootnoteTextChar">
    <w:name w:val="Footnote Text Char"/>
    <w:basedOn w:val="DefaultParagraphFont"/>
    <w:link w:val="FootnoteText"/>
    <w:uiPriority w:val="99"/>
    <w:semiHidden/>
    <w:qFormat/>
    <w:rsid w:val="0073058B"/>
    <w:rPr>
      <w:sz w:val="20"/>
      <w:szCs w:val="20"/>
    </w:rPr>
  </w:style>
  <w:style w:type="character" w:customStyle="1" w:styleId="FootnoteCharacters">
    <w:name w:val="Footnote Characters"/>
    <w:basedOn w:val="DefaultParagraphFont"/>
    <w:uiPriority w:val="99"/>
    <w:semiHidden/>
    <w:unhideWhenUsed/>
    <w:qFormat/>
    <w:rsid w:val="0073058B"/>
    <w:rPr>
      <w:vertAlign w:val="superscript"/>
    </w:rPr>
  </w:style>
  <w:style w:type="character" w:customStyle="1" w:styleId="FootnoteAnchor">
    <w:name w:val="Footnote Anchor"/>
    <w:rPr>
      <w:vertAlign w:val="superscript"/>
    </w:rPr>
  </w:style>
  <w:style w:type="character" w:customStyle="1" w:styleId="cit-auth">
    <w:name w:val="cit-auth"/>
    <w:basedOn w:val="DefaultParagraphFont"/>
    <w:qFormat/>
    <w:rsid w:val="00A12FC0"/>
  </w:style>
  <w:style w:type="character" w:customStyle="1" w:styleId="cit-name-surname">
    <w:name w:val="cit-name-surname"/>
    <w:basedOn w:val="DefaultParagraphFont"/>
    <w:qFormat/>
    <w:rsid w:val="00A12FC0"/>
  </w:style>
  <w:style w:type="character" w:customStyle="1" w:styleId="cit-name-given-names">
    <w:name w:val="cit-name-given-names"/>
    <w:basedOn w:val="DefaultParagraphFont"/>
    <w:qFormat/>
    <w:rsid w:val="00A12FC0"/>
  </w:style>
  <w:style w:type="character" w:styleId="HTMLCite">
    <w:name w:val="HTML Cite"/>
    <w:basedOn w:val="DefaultParagraphFont"/>
    <w:uiPriority w:val="99"/>
    <w:semiHidden/>
    <w:unhideWhenUsed/>
    <w:qFormat/>
    <w:rsid w:val="00A12FC0"/>
    <w:rPr>
      <w:i/>
      <w:iCs/>
    </w:rPr>
  </w:style>
  <w:style w:type="character" w:customStyle="1" w:styleId="cit-pub-date">
    <w:name w:val="cit-pub-date"/>
    <w:basedOn w:val="DefaultParagraphFont"/>
    <w:qFormat/>
    <w:rsid w:val="00A12FC0"/>
  </w:style>
  <w:style w:type="character" w:customStyle="1" w:styleId="cit-article-title">
    <w:name w:val="cit-article-title"/>
    <w:basedOn w:val="DefaultParagraphFont"/>
    <w:qFormat/>
    <w:rsid w:val="00A12FC0"/>
  </w:style>
  <w:style w:type="character" w:customStyle="1" w:styleId="cit-vol">
    <w:name w:val="cit-vol"/>
    <w:basedOn w:val="DefaultParagraphFont"/>
    <w:qFormat/>
    <w:rsid w:val="00A12FC0"/>
  </w:style>
  <w:style w:type="character" w:customStyle="1" w:styleId="cit-fpage">
    <w:name w:val="cit-fpage"/>
    <w:basedOn w:val="DefaultParagraphFont"/>
    <w:qFormat/>
    <w:rsid w:val="00A12FC0"/>
  </w:style>
  <w:style w:type="character" w:customStyle="1" w:styleId="cit-lpage">
    <w:name w:val="cit-lpage"/>
    <w:basedOn w:val="DefaultParagraphFont"/>
    <w:qFormat/>
    <w:rsid w:val="00A12FC0"/>
  </w:style>
  <w:style w:type="character" w:customStyle="1" w:styleId="EndnoteCharacters">
    <w:name w:val="Endnote Characters"/>
    <w:basedOn w:val="DefaultParagraphFont"/>
    <w:uiPriority w:val="99"/>
    <w:semiHidden/>
    <w:unhideWhenUsed/>
    <w:qFormat/>
    <w:rsid w:val="00873324"/>
    <w:rPr>
      <w:vertAlign w:val="superscript"/>
    </w:rPr>
  </w:style>
  <w:style w:type="character" w:customStyle="1" w:styleId="EndnoteAnchor">
    <w:name w:val="Endnote Anchor"/>
    <w:rPr>
      <w:vertAlign w:val="superscript"/>
    </w:rPr>
  </w:style>
  <w:style w:type="character" w:styleId="FollowedHyperlink">
    <w:name w:val="FollowedHyperlink"/>
    <w:basedOn w:val="DefaultParagraphFont"/>
    <w:uiPriority w:val="99"/>
    <w:semiHidden/>
    <w:unhideWhenUsed/>
    <w:rsid w:val="00363306"/>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830E02"/>
    <w:pPr>
      <w:spacing w:line="480" w:lineRule="auto"/>
      <w:contextualSpacing/>
    </w:pPr>
    <w:rPr>
      <w:rFonts w:ascii="Times New Roman" w:hAnsi="Times New Roman" w:cs="Times New Roman"/>
      <w:b/>
      <w:bCs/>
      <w:sz w:val="40"/>
      <w:szCs w:val="40"/>
    </w:rPr>
  </w:style>
  <w:style w:type="paragraph" w:styleId="List">
    <w:name w:val="List"/>
    <w:basedOn w:val="BodyText"/>
    <w:rPr>
      <w:rFonts w:cs="Noto Sans Devanagari"/>
    </w:rPr>
  </w:style>
  <w:style w:type="paragraph" w:styleId="Caption">
    <w:name w:val="caption"/>
    <w:basedOn w:val="Normal"/>
    <w:next w:val="Normal"/>
    <w:uiPriority w:val="35"/>
    <w:semiHidden/>
    <w:unhideWhenUsed/>
    <w:qFormat/>
    <w:rsid w:val="003C76F4"/>
    <w:pPr>
      <w:spacing w:line="240" w:lineRule="auto"/>
    </w:pPr>
    <w:rPr>
      <w:b/>
      <w:bCs/>
      <w:smallCaps/>
      <w:color w:val="44546A" w:themeColor="text2"/>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B9420D"/>
    <w:pPr>
      <w:ind w:left="720"/>
      <w:contextualSpacing/>
    </w:pPr>
  </w:style>
  <w:style w:type="paragraph" w:styleId="Title">
    <w:name w:val="Title"/>
    <w:basedOn w:val="Normal"/>
    <w:next w:val="Normal"/>
    <w:link w:val="TitleChar"/>
    <w:uiPriority w:val="10"/>
    <w:qFormat/>
    <w:rsid w:val="003C76F4"/>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76F4"/>
    <w:pPr>
      <w:spacing w:after="240" w:line="240" w:lineRule="auto"/>
    </w:pPr>
    <w:rPr>
      <w:rFonts w:asciiTheme="majorHAnsi" w:eastAsiaTheme="majorEastAsia" w:hAnsiTheme="majorHAnsi" w:cstheme="majorBidi"/>
      <w:color w:val="4472C4" w:themeColor="accent1"/>
      <w:sz w:val="28"/>
      <w:szCs w:val="28"/>
    </w:rPr>
  </w:style>
  <w:style w:type="paragraph" w:styleId="NoSpacing">
    <w:name w:val="No Spacing"/>
    <w:uiPriority w:val="1"/>
    <w:qFormat/>
    <w:rsid w:val="003C76F4"/>
  </w:style>
  <w:style w:type="paragraph" w:styleId="Quote">
    <w:name w:val="Quote"/>
    <w:basedOn w:val="Normal"/>
    <w:next w:val="Normal"/>
    <w:link w:val="QuoteChar"/>
    <w:uiPriority w:val="29"/>
    <w:qFormat/>
    <w:rsid w:val="003C76F4"/>
    <w:pPr>
      <w:spacing w:before="120" w:after="120"/>
      <w:ind w:left="720"/>
    </w:pPr>
    <w:rPr>
      <w:color w:val="44546A" w:themeColor="text2"/>
      <w:sz w:val="24"/>
      <w:szCs w:val="24"/>
    </w:rPr>
  </w:style>
  <w:style w:type="paragraph" w:styleId="IntenseQuote">
    <w:name w:val="Intense Quote"/>
    <w:basedOn w:val="Normal"/>
    <w:next w:val="Normal"/>
    <w:link w:val="IntenseQuoteChar"/>
    <w:uiPriority w:val="30"/>
    <w:qFormat/>
    <w:rsid w:val="003C76F4"/>
    <w:pPr>
      <w:spacing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paragraph" w:styleId="TOCHeading">
    <w:name w:val="TOC Heading"/>
    <w:basedOn w:val="Heading1"/>
    <w:next w:val="Normal"/>
    <w:uiPriority w:val="39"/>
    <w:semiHidden/>
    <w:unhideWhenUsed/>
    <w:qFormat/>
    <w:rsid w:val="003C76F4"/>
  </w:style>
  <w:style w:type="paragraph" w:styleId="CommentText">
    <w:name w:val="annotation text"/>
    <w:basedOn w:val="Normal"/>
    <w:link w:val="CommentTextChar"/>
    <w:uiPriority w:val="99"/>
    <w:unhideWhenUsed/>
    <w:qFormat/>
    <w:rsid w:val="008C4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8C4255"/>
    <w:rPr>
      <w:b/>
      <w:bCs/>
    </w:rPr>
  </w:style>
  <w:style w:type="paragraph" w:styleId="BalloonText">
    <w:name w:val="Balloon Text"/>
    <w:basedOn w:val="Normal"/>
    <w:link w:val="BalloonTextChar"/>
    <w:uiPriority w:val="99"/>
    <w:semiHidden/>
    <w:unhideWhenUsed/>
    <w:qFormat/>
    <w:rsid w:val="008C4255"/>
    <w:pPr>
      <w:spacing w:after="0" w:line="240" w:lineRule="auto"/>
    </w:pPr>
    <w:rPr>
      <w:rFonts w:ascii="Segoe UI" w:hAnsi="Segoe UI" w:cs="Segoe UI"/>
      <w:sz w:val="18"/>
      <w:szCs w:val="18"/>
    </w:rPr>
  </w:style>
  <w:style w:type="paragraph" w:styleId="BodyText2">
    <w:name w:val="Body Text 2"/>
    <w:basedOn w:val="Normal"/>
    <w:link w:val="BodyText2Char"/>
    <w:uiPriority w:val="99"/>
    <w:unhideWhenUsed/>
    <w:qFormat/>
    <w:rsid w:val="00B163A0"/>
    <w:pPr>
      <w:spacing w:line="480" w:lineRule="auto"/>
      <w:contextualSpacing/>
    </w:pPr>
    <w:rPr>
      <w:rFonts w:ascii="Times New Roman" w:hAnsi="Times New Roman" w:cs="Times New Roman"/>
      <w:sz w:val="24"/>
      <w:szCs w:val="24"/>
    </w:rPr>
  </w:style>
  <w:style w:type="paragraph" w:styleId="Bibliography">
    <w:name w:val="Bibliography"/>
    <w:basedOn w:val="Normal"/>
    <w:next w:val="Normal"/>
    <w:uiPriority w:val="37"/>
    <w:unhideWhenUsed/>
    <w:qFormat/>
    <w:rsid w:val="0013608A"/>
    <w:pPr>
      <w:spacing w:after="0" w:line="480" w:lineRule="auto"/>
      <w:ind w:left="720" w:hanging="720"/>
    </w:pPr>
  </w:style>
  <w:style w:type="paragraph" w:customStyle="1" w:styleId="EndNoteBibliographyTitle">
    <w:name w:val="EndNote Bibliography Title"/>
    <w:basedOn w:val="Normal"/>
    <w:link w:val="EndNoteBibliographyTitleChar"/>
    <w:qFormat/>
    <w:rsid w:val="00597576"/>
    <w:pPr>
      <w:spacing w:after="0"/>
      <w:jc w:val="center"/>
    </w:pPr>
    <w:rPr>
      <w:rFonts w:ascii="Calibri" w:hAnsi="Calibri" w:cs="Calibri"/>
    </w:rPr>
  </w:style>
  <w:style w:type="paragraph" w:customStyle="1" w:styleId="EndNoteBibliography">
    <w:name w:val="EndNote Bibliography"/>
    <w:basedOn w:val="Normal"/>
    <w:link w:val="EndNoteBibliographyChar"/>
    <w:qFormat/>
    <w:rsid w:val="00597576"/>
    <w:pPr>
      <w:spacing w:line="240" w:lineRule="auto"/>
      <w:jc w:val="center"/>
    </w:pPr>
    <w:rPr>
      <w:rFonts w:ascii="Calibri" w:hAnsi="Calibri" w:cs="Calib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C66BA"/>
    <w:pPr>
      <w:tabs>
        <w:tab w:val="center" w:pos="4680"/>
        <w:tab w:val="right" w:pos="9360"/>
      </w:tabs>
      <w:spacing w:after="0" w:line="240" w:lineRule="auto"/>
    </w:pPr>
  </w:style>
  <w:style w:type="paragraph" w:styleId="Footer">
    <w:name w:val="footer"/>
    <w:basedOn w:val="Normal"/>
    <w:link w:val="FooterChar"/>
    <w:uiPriority w:val="99"/>
    <w:unhideWhenUsed/>
    <w:rsid w:val="00BC66BA"/>
    <w:pPr>
      <w:tabs>
        <w:tab w:val="center" w:pos="4680"/>
        <w:tab w:val="right" w:pos="9360"/>
      </w:tabs>
      <w:spacing w:after="0" w:line="240" w:lineRule="auto"/>
    </w:pPr>
  </w:style>
  <w:style w:type="paragraph" w:styleId="BodyTextIndent">
    <w:name w:val="Body Text Indent"/>
    <w:basedOn w:val="Normal"/>
    <w:link w:val="BodyTextIndentChar"/>
    <w:uiPriority w:val="99"/>
    <w:unhideWhenUsed/>
    <w:rsid w:val="004207CB"/>
    <w:pPr>
      <w:spacing w:line="480" w:lineRule="auto"/>
      <w:ind w:firstLine="720"/>
      <w:contextualSpacing/>
    </w:pPr>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3058B"/>
    <w:pPr>
      <w:spacing w:after="0" w:line="240" w:lineRule="auto"/>
    </w:pPr>
    <w:rPr>
      <w:sz w:val="20"/>
      <w:szCs w:val="20"/>
    </w:rPr>
  </w:style>
  <w:style w:type="paragraph" w:styleId="Revision">
    <w:name w:val="Revision"/>
    <w:uiPriority w:val="99"/>
    <w:semiHidden/>
    <w:qFormat/>
    <w:rsid w:val="00060993"/>
  </w:style>
  <w:style w:type="character" w:styleId="UnresolvedMention">
    <w:name w:val="Unresolved Mention"/>
    <w:basedOn w:val="DefaultParagraphFont"/>
    <w:uiPriority w:val="99"/>
    <w:semiHidden/>
    <w:unhideWhenUsed/>
    <w:rsid w:val="0039230F"/>
    <w:rPr>
      <w:color w:val="605E5C"/>
      <w:shd w:val="clear" w:color="auto" w:fill="E1DFDD"/>
    </w:rPr>
  </w:style>
  <w:style w:type="paragraph" w:styleId="NormalWeb">
    <w:name w:val="Normal (Web)"/>
    <w:basedOn w:val="Normal"/>
    <w:uiPriority w:val="99"/>
    <w:unhideWhenUsed/>
    <w:rsid w:val="000B5A3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basedOn w:val="DefaultParagraphFont"/>
    <w:uiPriority w:val="99"/>
    <w:semiHidden/>
    <w:unhideWhenUsed/>
    <w:rsid w:val="00C975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osf.io/7qhsj/?view_only=07b52294c1b647829644a833fc3d4883"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30A8019B152BA439D52346B604B2835" ma:contentTypeVersion="13" ma:contentTypeDescription="Create a new document." ma:contentTypeScope="" ma:versionID="73121b92a4ec7b4e873519556545858a">
  <xsd:schema xmlns:xsd="http://www.w3.org/2001/XMLSchema" xmlns:xs="http://www.w3.org/2001/XMLSchema" xmlns:p="http://schemas.microsoft.com/office/2006/metadata/properties" xmlns:ns2="3f4703c7-a244-4ea4-bb71-6ceccf66c940" xmlns:ns3="f849ceac-be31-4242-ae1a-03d138484509" targetNamespace="http://schemas.microsoft.com/office/2006/metadata/properties" ma:root="true" ma:fieldsID="1b82ca412ccee786379e0fea4f4c4991" ns2:_="" ns3:_="">
    <xsd:import namespace="3f4703c7-a244-4ea4-bb71-6ceccf66c940"/>
    <xsd:import namespace="f849ceac-be31-4242-ae1a-03d1384845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703c7-a244-4ea4-bb71-6ceccf66c9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49ceac-be31-4242-ae1a-03d13848450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4D3B8B-4476-4629-BC88-4AEC231C791F}">
  <ds:schemaRefs>
    <ds:schemaRef ds:uri="http://schemas.microsoft.com/sharepoint/v3/contenttype/forms"/>
  </ds:schemaRefs>
</ds:datastoreItem>
</file>

<file path=customXml/itemProps2.xml><?xml version="1.0" encoding="utf-8"?>
<ds:datastoreItem xmlns:ds="http://schemas.openxmlformats.org/officeDocument/2006/customXml" ds:itemID="{8481890D-D280-4848-9268-C8D687BC70B3}">
  <ds:schemaRefs>
    <ds:schemaRef ds:uri="http://schemas.openxmlformats.org/officeDocument/2006/bibliography"/>
  </ds:schemaRefs>
</ds:datastoreItem>
</file>

<file path=customXml/itemProps3.xml><?xml version="1.0" encoding="utf-8"?>
<ds:datastoreItem xmlns:ds="http://schemas.openxmlformats.org/officeDocument/2006/customXml" ds:itemID="{B539214A-B730-444F-A42E-889B9073C8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703c7-a244-4ea4-bb71-6ceccf66c940"/>
    <ds:schemaRef ds:uri="f849ceac-be31-4242-ae1a-03d1384845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CD0B96-0AEA-4086-9D23-A21321A334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17662</Words>
  <Characters>100674</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2021-12-09T18:57:00Z</dcterms:created>
  <dcterms:modified xsi:type="dcterms:W3CDTF">2022-02-28T13:40:00Z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zotero-version="5.0.96.3"&gt;&lt;session id="mtdYnKlK"/&gt;&lt;style id="http://www.zotero.org/styles/apa" locale="en-US" hasBibliography="1" bibliographyStyleHasBeenSet="1"/&gt;&lt;prefs&gt;&lt;pref name="fieldType" value="Field"/&gt;&lt;pref name="automaticJou</vt:lpwstr>
  </property>
  <property fmtid="{D5CDD505-2E9C-101B-9397-08002B2CF9AE}" pid="9" name="ZOTERO_PREF_2">
    <vt:lpwstr>rnalAbbreviations" value="true"/&gt;&lt;/prefs&gt;&lt;/data&gt;</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ContentTypeId">
    <vt:lpwstr>0x010100930A8019B152BA439D52346B604B2835</vt:lpwstr>
  </property>
</Properties>
</file>