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RETAIL SALES ANALYTICS &amp; BUSINESS INTELLIGENCE DASHBOARD</w:t>
      </w:r>
    </w:p>
    <w:p>
      <w:pPr>
        <w:jc w:val="center"/>
      </w:pPr>
      <w:r>
        <w:rPr>
          <w:i/>
        </w:rPr>
        <w:t>Project Report</w:t>
      </w:r>
    </w:p>
    <w:p>
      <w:pPr>
        <w:pStyle w:val="Heading1"/>
      </w:pPr>
      <w:r>
        <w:t>1. Executive Summary</w:t>
      </w:r>
    </w:p>
    <w:p>
      <w:r>
        <w:t>This project demonstrates how transaction-level retail data can be transformed into a business intelligence dashboard. The application presents KPIs, trends, category and regional comparisons, product performance, and follow-up actions using Python, Streamlit, Pandas, and NumPy. The accompanying CSV is a synthetic educational dataset.</w:t>
      </w:r>
    </w:p>
    <w:p>
      <w:pPr>
        <w:pStyle w:val="Heading1"/>
      </w:pPr>
      <w:r>
        <w:t>2. Problem Statement</w:t>
      </w:r>
    </w:p>
    <w:p>
      <w:r>
        <w:t>Retail transaction tables can be difficult for decision-makers to interpret quickly. This project organizes sales and profitability measures into an interactive dashboard to support exploration and identify areas for further investigation.</w:t>
      </w:r>
    </w:p>
    <w:p>
      <w:pPr>
        <w:pStyle w:val="Heading1"/>
      </w:pPr>
      <w:r>
        <w:t>3. Objectives</w:t>
      </w:r>
    </w:p>
    <w:p>
      <w:r>
        <w:t>Summarize sales, profit, order count, average order value, and profit margin; compare trends, categories, regions, and customer segments; identify products for further review; and translate descriptive analysis into cautious follow-up actions.</w:t>
      </w:r>
    </w:p>
    <w:p>
      <w:pPr>
        <w:pStyle w:val="Heading1"/>
      </w:pPr>
      <w:r>
        <w:t>4. Dataset Description</w:t>
      </w:r>
    </w:p>
    <w:p>
      <w:r>
        <w:t>The project includes `retail_sales_dataset.csv` with 1,800 simulated transaction rows and 12 columns. Dates span 2023-01-02 to 2025-12-31. Columns include order ID/date, region, segment, category, product, quantity, discount, sales, and profit. The dataset is generated specifically for this educational project using a fixed random seed and is stored as a separate CSV that the application reads at runtime.</w:t>
      </w:r>
    </w:p>
    <w:p>
      <w:pPr>
        <w:pStyle w:val="Heading1"/>
      </w:pPr>
      <w:r>
        <w:t>5. Tools and Technologies</w:t>
      </w:r>
    </w:p>
    <w:p>
      <w:r>
        <w:t>Python for application logic; Streamlit for the interactive web dashboard; Pandas for tabular manipulation; NumPy for numerical calculations; Matplotlib for report charts.</w:t>
      </w:r>
    </w:p>
    <w:p>
      <w:pPr>
        <w:pStyle w:val="Heading1"/>
      </w:pPr>
      <w:r>
        <w:t>6. Methodology</w:t>
      </w:r>
    </w:p>
    <w:p>
      <w:r>
        <w:t>Load the CSV dataset; validate required columns and parse dates and numeric fields; derive month and profit margin; allow filtering by date, category, region, and segment; calculate KPIs; aggregate metrics; visualize performance; and present decision-support recommendations.</w:t>
      </w:r>
    </w:p>
    <w:p>
      <w:pPr>
        <w:pStyle w:val="Heading1"/>
      </w:pPr>
      <w:r>
        <w:t>7. Key Performance Indicators</w:t>
      </w:r>
    </w:p>
    <w:p>
      <w:r>
        <w:t>Total sales: $962,302.12. Total profit: $144,350.97. Unique orders: 1,800. Average order value: $534.61. Profit margin: 15.00%. These values describe the included synthetic dataset only.</w:t>
      </w:r>
    </w:p>
    <w:p>
      <w:pPr>
        <w:pStyle w:val="Heading1"/>
      </w:pPr>
      <w:r>
        <w:t>8. Exploratory Analysis</w:t>
      </w:r>
    </w:p>
    <w:p>
      <w:r>
        <w:t>In the included synthetic dataset, Technology has the highest total sales, North has the highest total profit, and West has the lowest total profit. These are descriptive outcomes of simulated data, not real-world business findings.</w:t>
      </w:r>
    </w:p>
    <w:p>
      <w:pPr>
        <w:pStyle w:val="Heading1"/>
      </w:pPr>
      <w:r>
        <w:t>9. Business Insights and Recommended Actions</w:t>
      </w:r>
    </w:p>
    <w:p>
      <w:r>
        <w:t>Review Technology product mix and stock availability before increasing promotional spend. Investigate differences between North and West using order mix, discount, and cost data. Track margin alongside sales because high revenue does not automatically imply high profitability. Validate actions with real operational data before making decisions.</w:t>
      </w:r>
    </w:p>
    <w:p>
      <w:pPr>
        <w:pStyle w:val="Heading1"/>
      </w:pPr>
      <w:r>
        <w:t>10. Application Workflow</w:t>
      </w:r>
    </w:p>
    <w:p>
      <w:r>
        <w:t>Keep `retail_bi_dashboard.py` and `retail_sales_dataset.csv` in the same folder. Install dependencies with `pip install -r requirements.txt`, then run `streamlit run retail_bi_dashboard.py`. Use sidebar filters and review KPI cards, charts, the product table, and decision-support notes.</w:t>
      </w:r>
    </w:p>
    <w:p>
      <w:pPr>
        <w:pStyle w:val="Heading1"/>
      </w:pPr>
      <w:r>
        <w:t>11. Limitations</w:t>
      </w:r>
    </w:p>
    <w:p>
      <w:r>
        <w:t>The CSV contains synthetic data; profit uses assumed category margins and discount effects rather than real cost records; the dashboard is descriptive rather than predictive; and recommendations are prompts for further investigation.</w:t>
      </w:r>
    </w:p>
    <w:p>
      <w:pPr>
        <w:pStyle w:val="Heading1"/>
      </w:pPr>
      <w:r>
        <w:t>12. Future Scope</w:t>
      </w:r>
    </w:p>
    <w:p>
      <w:r>
        <w:t>Replace the synthetic CSV with a permitted public dataset, add data-quality tests and CSV upload, support filtered exports and automated reports, and consider forecasting only after selecting and validating suitable data.</w:t>
      </w:r>
    </w:p>
    <w:p>
      <w:pPr>
        <w:pStyle w:val="Heading1"/>
      </w:pPr>
      <w:r>
        <w:t>13. Conclusion</w:t>
      </w:r>
    </w:p>
    <w:p>
      <w:r>
        <w:t>The project demonstrates a clear BI workflow: load a dataset, calculate KPIs, examine trends, identify areas for investigation, and translate observations into possible actions. A separate CSV file makes the data source explicit and keeps the application reproducible.</w:t>
      </w:r>
    </w:p>
    <w:p>
      <w:pPr>
        <w:pStyle w:val="Heading2"/>
      </w:pPr>
      <w:r>
        <w:t>7A. KPI Summary</w:t>
      </w:r>
    </w:p>
    <w:tbl>
      <w:tblPr>
        <w:tblStyle w:val="LightList-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Synthetic result</w:t>
            </w:r>
          </w:p>
        </w:tc>
        <w:tc>
          <w:tcPr>
            <w:tcW w:type="dxa" w:w="3312"/>
          </w:tcPr>
          <w:p>
            <w:r>
              <w:t>Definition</w:t>
            </w:r>
          </w:p>
        </w:tc>
      </w:tr>
      <w:tr>
        <w:tc>
          <w:tcPr>
            <w:tcW w:type="dxa" w:w="3312"/>
          </w:tcPr>
          <w:p>
            <w:r>
              <w:t>Total sales</w:t>
            </w:r>
          </w:p>
        </w:tc>
        <w:tc>
          <w:tcPr>
            <w:tcW w:type="dxa" w:w="3312"/>
          </w:tcPr>
          <w:p>
            <w:r>
              <w:t>$962,302.12</w:t>
            </w:r>
          </w:p>
        </w:tc>
        <w:tc>
          <w:tcPr>
            <w:tcW w:type="dxa" w:w="3312"/>
          </w:tcPr>
          <w:p>
            <w:r>
              <w:t>Sum of sales after simulated discount</w:t>
            </w:r>
          </w:p>
        </w:tc>
      </w:tr>
      <w:tr>
        <w:tc>
          <w:tcPr>
            <w:tcW w:type="dxa" w:w="3312"/>
          </w:tcPr>
          <w:p>
            <w:r>
              <w:t>Total profit</w:t>
            </w:r>
          </w:p>
        </w:tc>
        <w:tc>
          <w:tcPr>
            <w:tcW w:type="dxa" w:w="3312"/>
          </w:tcPr>
          <w:p>
            <w:r>
              <w:t>$144,350.97</w:t>
            </w:r>
          </w:p>
        </w:tc>
        <w:tc>
          <w:tcPr>
            <w:tcW w:type="dxa" w:w="3312"/>
          </w:tcPr>
          <w:p>
            <w:r>
              <w:t>Sum of simulated profit</w:t>
            </w:r>
          </w:p>
        </w:tc>
      </w:tr>
      <w:tr>
        <w:tc>
          <w:tcPr>
            <w:tcW w:type="dxa" w:w="3312"/>
          </w:tcPr>
          <w:p>
            <w:r>
              <w:t>Unique orders</w:t>
            </w:r>
          </w:p>
        </w:tc>
        <w:tc>
          <w:tcPr>
            <w:tcW w:type="dxa" w:w="3312"/>
          </w:tcPr>
          <w:p>
            <w:r>
              <w:t>1,800</w:t>
            </w:r>
          </w:p>
        </w:tc>
        <w:tc>
          <w:tcPr>
            <w:tcW w:type="dxa" w:w="3312"/>
          </w:tcPr>
          <w:p>
            <w:r>
              <w:t>Count of unique order IDs</w:t>
            </w:r>
          </w:p>
        </w:tc>
      </w:tr>
      <w:tr>
        <w:tc>
          <w:tcPr>
            <w:tcW w:type="dxa" w:w="3312"/>
          </w:tcPr>
          <w:p>
            <w:r>
              <w:t>Average order value</w:t>
            </w:r>
          </w:p>
        </w:tc>
        <w:tc>
          <w:tcPr>
            <w:tcW w:type="dxa" w:w="3312"/>
          </w:tcPr>
          <w:p>
            <w:r>
              <w:t>$534.61</w:t>
            </w:r>
          </w:p>
        </w:tc>
        <w:tc>
          <w:tcPr>
            <w:tcW w:type="dxa" w:w="3312"/>
          </w:tcPr>
          <w:p>
            <w:r>
              <w:t>Sales divided by unique orders</w:t>
            </w:r>
          </w:p>
        </w:tc>
      </w:tr>
      <w:tr>
        <w:tc>
          <w:tcPr>
            <w:tcW w:type="dxa" w:w="3312"/>
          </w:tcPr>
          <w:p>
            <w:r>
              <w:t>Profit margin</w:t>
            </w:r>
          </w:p>
        </w:tc>
        <w:tc>
          <w:tcPr>
            <w:tcW w:type="dxa" w:w="3312"/>
          </w:tcPr>
          <w:p>
            <w:r>
              <w:t>15.00%</w:t>
            </w:r>
          </w:p>
        </w:tc>
        <w:tc>
          <w:tcPr>
            <w:tcW w:type="dxa" w:w="3312"/>
          </w:tcPr>
          <w:p>
            <w:r>
              <w:t>Profit divided by sales</w:t>
            </w:r>
          </w:p>
        </w:tc>
      </w:tr>
    </w:tbl>
    <w:p>
      <w:pPr>
        <w:pStyle w:val="Heading1"/>
      </w:pPr>
      <w:r>
        <w:t>8A. Visualizations</w:t>
      </w:r>
    </w:p>
    <w:p>
      <w:r>
        <w:t>Figure 1. Monthly sales trend</w:t>
      </w:r>
    </w:p>
    <w:p>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monthly_sales_trend.png"/>
                    <pic:cNvPicPr/>
                  </pic:nvPicPr>
                  <pic:blipFill>
                    <a:blip r:embed="rId9"/>
                    <a:stretch>
                      <a:fillRect/>
                    </a:stretch>
                  </pic:blipFill>
                  <pic:spPr>
                    <a:xfrm>
                      <a:off x="0" y="0"/>
                      <a:ext cx="5669280" cy="2692908"/>
                    </a:xfrm>
                    <a:prstGeom prst="rect"/>
                  </pic:spPr>
                </pic:pic>
              </a:graphicData>
            </a:graphic>
          </wp:inline>
        </w:drawing>
      </w:r>
    </w:p>
    <w:p>
      <w:r>
        <w:t>Figure 2. Sales by product category</w:t>
      </w:r>
    </w:p>
    <w:p>
      <w:r>
        <w:drawing>
          <wp:inline xmlns:a="http://schemas.openxmlformats.org/drawingml/2006/main" xmlns:pic="http://schemas.openxmlformats.org/drawingml/2006/picture">
            <wp:extent cx="5303520" cy="2879054"/>
            <wp:docPr id="2" name="Picture 2"/>
            <wp:cNvGraphicFramePr>
              <a:graphicFrameLocks noChangeAspect="1"/>
            </wp:cNvGraphicFramePr>
            <a:graphic>
              <a:graphicData uri="http://schemas.openxmlformats.org/drawingml/2006/picture">
                <pic:pic>
                  <pic:nvPicPr>
                    <pic:cNvPr id="0" name="sales_by_category.png"/>
                    <pic:cNvPicPr/>
                  </pic:nvPicPr>
                  <pic:blipFill>
                    <a:blip r:embed="rId10"/>
                    <a:stretch>
                      <a:fillRect/>
                    </a:stretch>
                  </pic:blipFill>
                  <pic:spPr>
                    <a:xfrm>
                      <a:off x="0" y="0"/>
                      <a:ext cx="5303520" cy="2879054"/>
                    </a:xfrm>
                    <a:prstGeom prst="rect"/>
                  </pic:spPr>
                </pic:pic>
              </a:graphicData>
            </a:graphic>
          </wp:inline>
        </w:drawing>
      </w:r>
    </w:p>
    <w:p>
      <w:r>
        <w:t>Figure 3. Profit by region</w:t>
      </w:r>
    </w:p>
    <w:p>
      <w:r>
        <w:drawing>
          <wp:inline xmlns:a="http://schemas.openxmlformats.org/drawingml/2006/main" xmlns:pic="http://schemas.openxmlformats.org/drawingml/2006/picture">
            <wp:extent cx="5303520" cy="2879054"/>
            <wp:docPr id="3" name="Picture 3"/>
            <wp:cNvGraphicFramePr>
              <a:graphicFrameLocks noChangeAspect="1"/>
            </wp:cNvGraphicFramePr>
            <a:graphic>
              <a:graphicData uri="http://schemas.openxmlformats.org/drawingml/2006/picture">
                <pic:pic>
                  <pic:nvPicPr>
                    <pic:cNvPr id="0" name="profit_by_region.png"/>
                    <pic:cNvPicPr/>
                  </pic:nvPicPr>
                  <pic:blipFill>
                    <a:blip r:embed="rId11"/>
                    <a:stretch>
                      <a:fillRect/>
                    </a:stretch>
                  </pic:blipFill>
                  <pic:spPr>
                    <a:xfrm>
                      <a:off x="0" y="0"/>
                      <a:ext cx="5303520" cy="2879054"/>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