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 Объект контроля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before="0" w:line="360" w:lineRule="auto"/>
            <w:ind w:left="0"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Объектом контроля являются трубопроводы АЭС, нефтяные и газотрубопроводы диаметром - ДУ300. Основной материал - аустенитная сталь. Размер внешнего диаметра 325, толщина 16 мм. Протяженность шва 1020 мм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2 Система ПУЗК (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Система полуавтоматического ультразвукового контроля)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Для проведения ультразвукового контроля (УЗК) служит установка, представленная на рисунке 1.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360" w:lineRule="auto"/>
            <w:ind w:firstLine="720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3571875" cy="261937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2619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360" w:lineRule="auto"/>
            <w:ind w:firstLine="720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Рисунок 1 – Система ПУЗК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На рисунке 2 представлены схемы и методы прозвучивания объекта контроля, которые реализуются в блоке генераторов и приемников ультразвукового контроля, устанавливаемого на сварного соединение с помощью направляющего кольца.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5734050" cy="3352800"/>
                <wp:effectExtent b="0" l="0" r="0" t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before="0" w:line="36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Рисунок 2 - Схема установки для проведения УЗК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before="0" w:line="36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Основные функции системы  ПУЗК 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0"/>
              <w:numId w:val="1"/>
            </w:numPr>
            <w:spacing w:before="0" w:line="360" w:lineRule="auto"/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Выявление продольных и поперечных дефектов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1"/>
            </w:numPr>
            <w:spacing w:before="0" w:line="360" w:lineRule="auto"/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Определение координат и условных размеров дефекта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spacing w:before="0" w:line="360" w:lineRule="auto"/>
            <w:ind w:left="720" w:hanging="360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Предназначена для проведения эксплуатационного контроля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 состав системы входят 8 преобразователей, располагающихся по обе стороны сварного шва. Часть из них является генераторами, а часть  приемниками (усилителями) акустического сигнала (обозначены буквами Г и У), два преобразователя совмещают эти функции.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Эхо-метод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При эхо-методе преобразователи располагаются с одной стороны сварного соединения. Метод основан на том, что генератор излучает ультразвуковую волну, которая отражается от дефекта и принимается усилителем. В отсутствие дефекта сигнал на приемнике отсутствует.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Хордовая схема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before="0" w:line="360" w:lineRule="auto"/>
            <w:ind w:firstLine="72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4090988" cy="2218165"/>
                <wp:effectExtent b="0" l="0" r="0" t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0988" cy="22181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before="0" w:line="360" w:lineRule="auto"/>
            <w:ind w:firstLine="72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Рисунок  3 - Схема хордового эхо-метода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Раздельно-совмещенная схема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before="0" w:line="360" w:lineRule="auto"/>
            <w:ind w:firstLine="72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4305900" cy="2319338"/>
                <wp:effectExtent b="0" l="0" r="0" 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900" cy="2319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before="0" w:line="360" w:lineRule="auto"/>
            <w:ind w:firstLine="72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Рисунок  4 - Схема раздельно-совмещенного эхо-метода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Теневой метод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При теневом методе генератор и приемник располагаются с разных сторон шва. Если дефекта нет, волна без потерь проходит от генератора к приемнику. При наличии дефекта сигнал на приемнике ослаблен из-за рассеивания ультразвуковой волны на дефекте.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4862513" cy="2673689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2513" cy="26736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before="0" w:line="360" w:lineRule="auto"/>
            <w:ind w:firstLine="720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Рисунок  5 - Схема теневого метода контроля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Всего реализовано 16 различных схем прозвучивания материала сварного шва, описанные в таблице 1. Основными являются 4 схемы с использованием эхо-метода (эхо-такты, например, с генератором Г0 и приемником У0) и 4 с использованием теневого метода (теневые такты, например, Г6-У5). С их помощью осуществляется выявление продольных дефектов. Еще 2 эхо-схемы (Г2-У0 и Г0-У2) предназначены для обнаружения поперечных дефектов, которые также используют для выявления дефектов теневые схемы прозвучивания.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widowControl w:val="0"/>
            <w:spacing w:before="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widowControl w:val="0"/>
            <w:spacing w:before="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widowControl w:val="0"/>
            <w:spacing w:before="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widowControl w:val="0"/>
            <w:spacing w:before="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widowControl w:val="0"/>
            <w:spacing w:before="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widowControl w:val="0"/>
            <w:spacing w:before="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Таблица 1 - Схемы прозвучивания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widowControl w:val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21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910"/>
        <w:gridCol w:w="1845"/>
        <w:gridCol w:w="1155"/>
        <w:gridCol w:w="2520"/>
        <w:tblGridChange w:id="0">
          <w:tblGrid>
            <w:gridCol w:w="780"/>
            <w:gridCol w:w="2910"/>
            <w:gridCol w:w="1845"/>
            <w:gridCol w:w="1155"/>
            <w:gridCol w:w="2520"/>
          </w:tblGrid>
        </w:tblGridChange>
      </w:tblGrid>
      <w:tr>
        <w:trPr>
          <w:trHeight w:val="560" w:hRule="atLeast"/>
        </w:trPr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№ такта</w:t>
                </w:r>
              </w:p>
            </w:sdtContent>
          </w:sdt>
        </w:tc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Схема</w:t>
                </w:r>
              </w:p>
            </w:sdtContent>
          </w:sdt>
        </w:tc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Выявляемые несплошности</w:t>
                </w:r>
              </w:p>
            </w:sdtContent>
          </w:sdt>
        </w:tc>
        <w:tc>
          <w:tcPr>
            <w:shd w:fill="999999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Сторона</w:t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Метод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и поперечные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Теневой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и поперечные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Теневой</w:t>
                </w:r>
              </w:p>
            </w:sdtContent>
          </w:sdt>
        </w:tc>
      </w:tr>
      <w:tr>
        <w:trPr>
          <w:trHeight w:val="260" w:hRule="atLeast"/>
        </w:trPr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 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Эхо-метод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 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Эхо-метод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Поперечные 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А-Б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Эхо-метод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Поперечные 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Б-А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Эхо-метод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Эхо-контактный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</w:t>
                </w:r>
              </w:p>
            </w:sdtContent>
          </w:sdt>
        </w:tc>
        <w:tc>
          <w:tcPr>
            <w:shd w:fill="00ff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Эхо-контактный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Поперечные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Эхо-контактный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ff00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Хордовая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Поперечные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Эхо-контактный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0000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Раздельно-совмещенная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 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Теневой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0000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Раздельно-совмещенная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 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</w:t>
                </w:r>
              </w:p>
            </w:sdtContent>
          </w:sdt>
        </w:tc>
        <w:tc>
          <w:tcPr>
            <w:shd w:fill="00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Теневой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0000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Раздельно-совмещенная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Эхо-метод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0000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Раздельно-совмещенная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</w:t>
                </w:r>
              </w:p>
            </w:sdtContent>
          </w:sdt>
        </w:tc>
        <w:tc>
          <w:tcPr>
            <w:shd w:fill="ffff00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Эхо-метод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0000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Раздельно-совмещенная</w:t>
                </w:r>
              </w:p>
            </w:sdtContent>
          </w:sdt>
        </w:tc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</w:tc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А</w:t>
                </w:r>
              </w:p>
            </w:sdtContent>
          </w:sdt>
        </w:tc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Эхо-контактный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0000ff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Раздельно-совмещенная</w:t>
                </w:r>
              </w:p>
            </w:sdtContent>
          </w:sdt>
        </w:tc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Продольные</w:t>
                </w:r>
              </w:p>
            </w:sdtContent>
          </w:sdt>
        </w:tc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Б</w:t>
                </w:r>
              </w:p>
            </w:sdtContent>
          </w:sdt>
        </w:tc>
        <w:tc>
          <w:tcPr>
            <w:shd w:fill="6d9eeb" w:val="clear"/>
            <w:tcMar>
              <w:top w:w="4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Эхо-контактный</w:t>
                </w:r>
              </w:p>
            </w:sdtContent>
          </w:sdt>
        </w:tc>
      </w:tr>
    </w:tbl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На случай недостаточного акустического контакта эхо-такты повторяются с усилением +6дБ (6 схем),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эхо-контактный метод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. Такое количество преобразователей и реализуемых с их помощью схем прозвучивания обеспечивает более надежное выявление дефектов.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Конструктивно все преобразователи объединены в так называемый сканер, в который также входят двигатель и датчик пути. Для проведения контроля сканер с помощью специального кольца устанавливается на сварное соединение и при помощи двигателя делает один оборот вокруг трубопровода с шагом 1 мм. При этом каждый миллиметр материала шва прозвучивается по всем 16 схемам, а датчик пути измеряет пройденное расстояние. С помощью кабеля сканер соединен с ультразвуковым дефектоскопом, на который в процессе контроля передается вся полученная информация. По окончании контроля данные с дефектоскопа переносятся на персональный компьютер для дальнейшего анализа.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Типы выявляемых дефектов(аномалий в данных)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spacing w:before="0" w:line="360" w:lineRule="auto"/>
            <w:ind w:left="720" w:firstLine="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Продольные дефекты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spacing w:before="0" w:line="360" w:lineRule="auto"/>
            <w:ind w:left="0" w:firstLine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Продольные дефекты - дефекты (трещины), расположенные вдоль оси сварного шва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spacing w:before="0" w:line="360" w:lineRule="auto"/>
            <w:ind w:firstLine="720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5395913" cy="2943225"/>
                <wp:effectExtent b="0" l="0" r="0" t="0"/>
                <wp:docPr id="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913" cy="2943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spacing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Поперечные дефекты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spacing w:before="0" w:line="360" w:lineRule="auto"/>
            <w:ind w:left="0" w:firstLine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Поперечные дефекты - дефекты, расположенные перпендикулярно оси сварного шва.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spacing w:before="0" w:line="360" w:lineRule="auto"/>
            <w:ind w:left="720" w:firstLine="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5367338" cy="3610916"/>
                <wp:effectExtent b="0" l="0" r="0" t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7338" cy="36109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spacing w:before="0" w:line="360" w:lineRule="auto"/>
            <w:ind w:left="720" w:firstLine="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spacing w:before="0" w:line="360" w:lineRule="auto"/>
            <w:ind w:left="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spacing w:before="0" w:line="360" w:lineRule="auto"/>
            <w:ind w:left="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Потеря акустического контакта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spacing w:before="0" w:line="360" w:lineRule="auto"/>
            <w:ind w:left="0" w:firstLine="72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highlight w:val="white"/>
              <w:rtl w:val="0"/>
            </w:rPr>
            <w:t xml:space="preserve">Акустический контакт – способ передачи акустического сигнала из объекта контроля в преобразователь и наоборот. Акустические волны сильно отражаются от тонких воздушных зазоров. Поэтому для передачи волн от преобразователя к объекту такие промежутки часто заполняются жидкостью.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spacing w:before="0" w:line="360" w:lineRule="auto"/>
            <w:ind w:left="0" w:firstLine="720"/>
            <w:rPr>
              <w:rFonts w:ascii="Times New Roman" w:cs="Times New Roman" w:eastAsia="Times New Roman" w:hAnsi="Times New Roman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spacing w:before="0" w:line="360" w:lineRule="auto"/>
            <w:ind w:left="0" w:firstLine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5424488" cy="3901666"/>
                <wp:effectExtent b="0" l="0" r="0" t="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4488" cy="39016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spacing w:before="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Локальное улучшение акустического контакта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spacing w:before="0" w:line="360" w:lineRule="auto"/>
            <w:ind w:left="720" w:firstLine="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5395913" cy="3467100"/>
                <wp:effectExtent b="0" l="0" r="0" t="0"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913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spacing w:before="0" w:line="360" w:lineRule="auto"/>
            <w:ind w:left="72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Нестационарность сигнала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spacing w:before="0" w:line="360" w:lineRule="auto"/>
            <w:ind w:left="720" w:firstLine="0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9050" distT="19050" distL="19050" distR="19050">
                <wp:extent cx="5243513" cy="3532863"/>
                <wp:effectExtent b="0" l="0" r="0" t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3513" cy="3532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1"/>
            <w:widowControl w:val="0"/>
            <w:spacing w:after="0" w:before="0" w:line="360" w:lineRule="auto"/>
            <w:ind w:firstLine="7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 Постановка задачи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widowControl w:val="0"/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Описанная выше система в течение нескольких лет используется на российских АЭС с реакторами РБМК. Анализ результатов контроля выполняется экспертом, который  выдает заключение о наличии дефектов в данном сварном соединении и их координатах. Основным признаком дефекта является одновременное повышение уровня эхо-сигнала (пик) и падение амплитуды теневого сигнала (провал) хотя бы по одной паре тактов. Таким образом, основная задача эксперта состоит в выделении пиков и провалов сигнала на фоне помех. После определения координат дефекта, его высота определяется по величине падения теневого сигнала. 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widowControl w:val="0"/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 идеале амплитуда эхо-сигнала при отсутствии дефекта должна равняться нулю, а амплитуда теневого сигнала – 255 усл.ед. При наличии дефекта должно наблюдаться обратное соотношение сигналов по эхо и теневым тактам. 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widowControl w:val="0"/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 реальности, анализ сигналов затруднен наличием целого  ряда мешающих факторов. Даже при отсутствии дефекта, ультразвуковая волна отражается на границах зерен структуры материала. Поэтому в сигнале всегда присутствует так называемый структурный шум. Свое влияние оказывают электрические помехи и ошибки амплитудного квантования сигналов. . Поведение сигналов УЗК существенно зависит от размера, ориентации и положения дефекта относительно измерительного блока.  Наконец сильнейшее влияние на сигнал оказывает непостоянство акустического контакта датчиков и контролируемой поверхности 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widowControl w:val="0"/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Таким образом, эксперт должен проводить одновременный анализ и сопоставление, в условиях шумов и мешающих факторов, 16–и  сигналов, изменяющихся при изменении координат сканера. Понятны высокие требования к квалификации и опыту эксперта, которые часто недостижимы штатным персоналом лабораторий контроля металлов на АЭС. Это приводит к необходимости привлечения для контроля сотрудников организаций – разработчиков реактора и диагностического оборудования. Другими проблемами являются низкая скорость обработки результатов, субъективность оценки состояния сварного шва и влияние на нее “человеческого фактора”. 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 Результаты УЗК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Результаты УЗК сварного соединения представляют собой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файл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в котором записана служебная информация (номер соединения, условия контроля и т.д.) и таблица измеренных значений сигналов. Первая строка файла является служебной и содержит информацию о номере сварного шва, о приборе контроля, дате и времени контроля, температуре и пр. В первом столбце таблицы записываются показания датчика пути (расстояние вдоль сварного шва в миллиметрах), а в остальных  значения амплитуд сигналов по всем 16 схемам прозвучивания. Длина окружности трубопровода составляет 1020 мм. Для надежного контроля начального участка сканирование проводится с нахлестом от 10 до 100 мм. Амплитуда сигнала изменяется в диапазоне 0–255 условных единиц. 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Пример файла с данными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spacing w:before="0"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Файлы с данными носят числовые названия, которые соответствуют номеру сварного шва при проведении УЗК. Форматом файлов с данными является .dat. Ниже показан пример одного такого файла.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spacing w:before="0" w:line="36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5360511" cy="3290888"/>
                <wp:effectExtent b="0" l="0" r="0" t="0"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0511" cy="32908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spacing w:before="0" w:line="36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Рисунок 5 - Пример файла с данными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5 Целевая переменная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Целевую переменную нужно будет сделать из таблицы (csv формат), в столбцах которой будут указаны характеристики найденных дефектов.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Таблица дефектов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Начало дефекта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Длина дефекта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Высота дефекта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Тип дефекта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Сторона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5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256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310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38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515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830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910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5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178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Комментарий к таблице: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Тип дефекта: L - протяженный, T - поперечный. 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spacing w:before="0" w:line="360" w:lineRule="auto"/>
            <w:ind w:firstLine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 Обнаружение дефектов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spacing w:before="0" w:line="276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Проявление дефекта в сигнале эхо-такта можно представить как увеличение уровня сигнала от некоторого начального значения, области постоянного уровня (при сканировании вдоль дефектной области) и последующим снижении уровня сигнала. 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widowControl w:val="0"/>
            <w:spacing w:line="276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Длину дефекта определяют как разность координат конца и начала сигнала от  дефекта на С-скане, то есть разность границ дефекта.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widowControl w:val="0"/>
            <w:spacing w:line="276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Высоту дефекта определяют по уровню падения сигнала от несплошности. Так например, если падение сигнала от 255 усл.ед. составляет 200 усл.ед. то высота дефекта находится в диапазоне от 8 мм и более.  А если падение сигнала от 255 усл.ед. находится в диапазоне от 10 до 20 усл.ед. то высота дефекта будет 2-3 мм.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widowControl w:val="0"/>
            <w:spacing w:line="276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7 Тренировочная выборка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spacing w:line="360" w:lineRule="auto"/>
            <w:ind w:firstLine="72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В качестве тренировочной последовательности будет использоваться выборка SOP, полученная в результате сканирования системой ПУЗК стандартного образца предприятия (СОП). Сканирование образца выполнялось 3 раза подряд, именно поэтому даются 3 выборки для обучения.</w:t>
          </w:r>
        </w:p>
      </w:sdtContent>
    </w:sdt>
    <w:sectPr>
      <w:headerReference r:id="rId1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56"/>
    </w:sdtPr>
    <w:sdtContent>
      <w:p w:rsidR="00000000" w:rsidDel="00000000" w:rsidP="00000000" w:rsidRDefault="00000000" w:rsidRPr="00000000" w14:paraId="00000101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6sIJ2fldNV5wnRTNFMMos1U8Gw==">AMUW2mWDkEmuwBYs/dfxHs0nc7gIUAioxBJXkFW28f4RwkmQaXgdy84r8Z4ShyK4y6y41SlYsxylJjEiUlbAEdGbECQYaktgGX6Rq/f49jlHz/zxHQ1+vL0=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