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  <w:rtl w:val="0"/>
            </w:rPr>
            <w:t xml:space="preserve">Конкурсное задание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  <w:rtl w:val="0"/>
            </w:rPr>
            <w:t xml:space="preserve">AtomSkills 2019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Машинное обучение и большие данные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С1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spacing w:line="480" w:lineRule="auto"/>
            <w:rPr>
              <w:rFonts w:ascii="Calibri" w:cs="Calibri" w:eastAsia="Calibri" w:hAnsi="Calibri"/>
              <w:sz w:val="28"/>
              <w:szCs w:val="2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Модуль 2 Изучение параметров, влияющих на целевую переменную. Предварительная подготовка данных.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pStyle w:val="Subtitle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headerReference r:id="rId8" w:type="first"/>
              <w:headerReference r:id="rId9" w:type="even"/>
              <w:footerReference r:id="rId10" w:type="default"/>
              <w:footerReference r:id="rId11" w:type="first"/>
              <w:footerReference r:id="rId12" w:type="even"/>
              <w:pgSz w:h="16838" w:w="11906"/>
              <w:pgMar w:bottom="1985" w:top="1985" w:left="1134" w:right="1134" w:header="567" w:footer="567"/>
              <w:pgNumType w:start="1"/>
              <w:titlePg w:val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2"/>
            <w:rPr>
              <w:rFonts w:ascii="Calibri" w:cs="Calibri" w:eastAsia="Calibri" w:hAnsi="Calibri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СОДЕРЖАНИЕ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Сессия 2 данного Конкурсного задания состоит из следующей документации / файлов: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C1_2 AS2019_BDML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.pdf</w:t>
            <w:tab/>
            <w:t xml:space="preserve">(Инструкция к модулю 2)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SOP1.txt, SOP2.txt, SOP3.txt</w:t>
            <w:tab/>
            <w:t xml:space="preserve">(Исходные данные)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Видеоролик</w:t>
            <w:tab/>
            <w:t xml:space="preserve">(Знакомство с системой УЗК)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tabs>
              <w:tab w:val="left" w:pos="4962"/>
            </w:tabs>
            <w:spacing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Описание ПУЗК_С1_2.doc</w:t>
            <w:tab/>
            <w:t xml:space="preserve">(Описание технологии автоматизированного УЗК)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ВВЕДЕНИЕ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pStyle w:val="Heading2"/>
            <w:tabs>
              <w:tab w:val="left" w:pos="6145"/>
            </w:tabs>
            <w:rPr>
              <w:rFonts w:ascii="Calibri" w:cs="Calibri" w:eastAsia="Calibri" w:hAnsi="Calibri"/>
              <w:b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mallCaps w:val="0"/>
              <w:sz w:val="20"/>
              <w:szCs w:val="20"/>
              <w:rtl w:val="0"/>
            </w:rPr>
            <w:t xml:space="preserve">В этом модуле Вам предстоит выявить взаимные корреляции между переменными, построить графики выделяющие особенности данных, определить по ним расстояние между раздельно-совмещенной схемой и хордовой, а также на основе данного анализа привести данные контроля к одной координатной системе. В исходных данных контроля начало отсчета опережает первую схему прозвучивания на 50 мм.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tabs>
              <w:tab w:val="left" w:pos="6145"/>
            </w:tabs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ИНСТРУКЦИЯ 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участнику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К концу этой сессии, у Вас должны быть достигнуты следующие результаты: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pStyle w:val="Heading3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ПРАКТИЧЕСКИЕ РЕЗУЛЬТАТЫ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Calibri" w:cs="Calibri" w:eastAsia="Calibri" w:hAnsi="Calibri"/>
                    <w:smallCaps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1. ОПРЕДЕЛЕНИЕ РАССТОЯНИЯ МЕЖДУ СХЕМАМИ ПРОЗВУЧИВАНИЯ</w:t>
                </w:r>
              </w:p>
            </w:sdtContent>
          </w:sdt>
        </w:tc>
      </w:tr>
      <w:t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Взаимно-корреляционные функции представлены примерами (текст, графики), отражено в отчете.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В отчете сделан и описан обоснованный вывод о высоких корреляциях переменных.</w:t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Определено расстояние между схемами прозвучивания.</w:t>
                </w:r>
              </w:p>
            </w:sdtContent>
          </w:sdt>
        </w:tc>
      </w:tr>
    </w:tbl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28"/>
        <w:tblGridChange w:id="0">
          <w:tblGrid>
            <w:gridCol w:w="9628"/>
          </w:tblGrid>
        </w:tblGridChange>
      </w:tblGrid>
      <w:tr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ОПРЕДЕЛЕНИЕ СХЕМ ПРОЗВУЧИВАНИЯ</w:t>
                </w:r>
              </w:p>
            </w:sdtContent>
          </w:sdt>
        </w:tc>
      </w:tr>
      <w:t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На основании предыдущего модуля и проведенного корреляционного анализа: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Calibri" w:cs="Calibri" w:eastAsia="Calibri" w:hAnsi="Calibri"/>
                  </w:rPr>
                </w:pPr>
                <w:bookmarkStart w:colFirst="0" w:colLast="0" w:name="_heading=h.1fob9te" w:id="2"/>
                <w:bookmarkEnd w:id="2"/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Обоснованно определены схемы прозвучивания (хордовая\раздельно-совмещенная) для каждого столбца исходных данных, отражено в отчете.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</w:rPr>
                </w:pPr>
                <w:bookmarkStart w:colFirst="0" w:colLast="0" w:name="_heading=h.3znysh7" w:id="3"/>
                <w:bookmarkEnd w:id="3"/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Обоснованно определены схемы прозвучивания (эхо-продольные\ эхо-продольные-контактные\эхо-поперечные\эхо-поперечные-контактные\теневые) для каждого столбца исходных данных, отражено в отчете.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Calibri" w:cs="Calibri" w:eastAsia="Calibri" w:hAnsi="Calibri"/>
                  </w:rPr>
                </w:pPr>
                <w:bookmarkStart w:colFirst="0" w:colLast="0" w:name="_heading=h.2et92p0" w:id="4"/>
                <w:bookmarkEnd w:id="4"/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Обоснованно определены схемы прозвучивания (Сторона А\Сторона В) для каждого столбца исходных данных, отражено в отчете. 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Calibri" w:cs="Calibri" w:eastAsia="Calibri" w:hAnsi="Calibri"/>
                  </w:rPr>
                </w:pPr>
                <w:bookmarkStart w:colFirst="0" w:colLast="0" w:name="_heading=h.tyjcwt" w:id="5"/>
                <w:bookmarkEnd w:id="5"/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4. Для файлов  SOP1, SOP2, SOP3 предоставить таблицы Схем прозвучивания аналогично таблице 1 (см. Описание ПУЗК_С1_2.doc) - номер такта должен соответствовать номеру столбца в результатах контроля.</w:t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 ПРИВЕДЕНИЕ К ОБЩЕЙ КООРДИНАТЕ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Выявлены и обработаны незначащие данные, учтены, отражено в отчете.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Выявлены, обработаны и обоснованы смещения в данных (данные приведены к общей координате), отражено в отчете.</w:t>
                </w:r>
              </w:p>
            </w:sdtContent>
          </w:sdt>
        </w:tc>
      </w:tr>
    </w:tbl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4. ОТЧЕТ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Отчет должен быть предоставлен в папке C[X]_M2, где [Х] – номер участника, который должен быть размещен на рабочем столе. 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C[X]_M2.ipynb (или аналог – с возможностью запустить и исполнить участки кода), C[X]_M2.HTML( или PDF), где [Х] – номер участника,  экспортированная тетрадь (или аналог) в статический формат.</w:t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38" w:w="11906"/>
      <w:pgMar w:bottom="1985" w:top="1985" w:left="1134" w:right="1134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  <w:font w:name="Calibri"/>
  <w:font w:name="Frutiger LT Com 45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7"/>
    </w:sdtPr>
    <w:sdtContent>
      <w:p w:rsidR="00000000" w:rsidDel="00000000" w:rsidP="00000000" w:rsidRDefault="00000000" w:rsidRPr="00000000" w14:paraId="0000003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Страница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 из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48"/>
    </w:sdtPr>
    <w:sdtContent>
      <w:p w:rsidR="00000000" w:rsidDel="00000000" w:rsidP="00000000" w:rsidRDefault="00000000" w:rsidRPr="00000000" w14:paraId="0000003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0"/>
    </w:sdtPr>
    <w:sdtContent>
      <w:p w:rsidR="00000000" w:rsidDel="00000000" w:rsidP="00000000" w:rsidRDefault="00000000" w:rsidRPr="00000000" w14:paraId="0000003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2"/>
    </w:sdtPr>
    <w:sdtContent>
      <w:p w:rsidR="00000000" w:rsidDel="00000000" w:rsidP="00000000" w:rsidRDefault="00000000" w:rsidRPr="00000000" w14:paraId="0000003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6"/>
    </w:sdtPr>
    <w:sdtContent>
      <w:p w:rsidR="00000000" w:rsidDel="00000000" w:rsidP="00000000" w:rsidRDefault="00000000" w:rsidRPr="00000000" w14:paraId="0000002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9"/>
    </w:sdtPr>
    <w:sdtContent>
      <w:p w:rsidR="00000000" w:rsidDel="00000000" w:rsidP="00000000" w:rsidRDefault="00000000" w:rsidRPr="00000000" w14:paraId="0000003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b="0" l="0" r="0" t="0"/>
              <wp:wrapSquare wrapText="bothSides" distB="0" distT="0" distL="0" distR="0"/>
              <wp:docPr descr="\\psf\Home\\Dropbox (WS Secretariat)\WSI DESIGN\WS_Logos_Updated_SJ\RGB PNG\worldskills_white_RGB-01.png" id="4" name="image2.png"/>
              <a:graphic>
                <a:graphicData uri="http://schemas.openxmlformats.org/drawingml/2006/picture">
                  <pic:pic>
                    <pic:nvPicPr>
                      <pic:cNvPr descr="\\psf\Home\\Dropbox (WS Secretariat)\WSI DESIGN\WS_Logos_Updated_SJ\RGB PNG\worldskills_white_RGB-01.png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1"/>
    </w:sdtPr>
    <w:sdtContent>
      <w:p w:rsidR="00000000" w:rsidDel="00000000" w:rsidP="00000000" w:rsidRDefault="00000000" w:rsidRPr="00000000" w14:paraId="0000003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5K/B03KQ5Vr8dHpzpH/3/LUKQ==">AMUW2mVO0h+NOZcfI9eTDA1xNQA8VRedMazngI7/zvtyr5qPL9uV/9pQ+CYNIfCP+mC0ONDl2oudm4G5DRx60EEHDCCE5KbJh2FlC8UyJ+8cpJhmSQgBTyDtruDPY0NMOLjqodoEwmH4wJ27NNljSfU7PomiP4b8JXQBPRQ8aa/kRoymCsSL+o4Cf4XHepPgaV6dfwvWf7J4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