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Times New Roman" w:hAnsi="Times New Roman"/>
          <w:b/>
          <w:color w:val="0F172A"/>
          <w:sz w:val="32"/>
        </w:rPr>
        <w:t>SIKSHA ‘O’ ANUSANDHAN</w:t>
        <w:br/>
      </w:r>
      <w:r>
        <w:rPr>
          <w:rFonts w:ascii="Times New Roman" w:hAnsi="Times New Roman"/>
          <w:b/>
          <w:color w:val="0F172A"/>
          <w:sz w:val="26"/>
        </w:rPr>
        <w:t>(DEEMED TO BE UNIVERSITY)</w:t>
        <w:br/>
      </w:r>
    </w:p>
    <w:p/>
    <w:p>
      <w:pPr>
        <w:spacing w:before="160" w:after="280"/>
      </w:pPr>
      <w:r>
        <w:rPr>
          <w:b/>
        </w:rPr>
        <w:t xml:space="preserve">Admission Batch: </w:t>
      </w:r>
      <w:r>
        <w:t xml:space="preserve">2023 – 2027                                  </w:t>
      </w:r>
      <w:r>
        <w:rPr>
          <w:b/>
        </w:rPr>
        <w:t xml:space="preserve">Session: </w:t>
      </w:r>
      <w:r>
        <w:t>2025 – 2026</w:t>
      </w:r>
    </w:p>
    <w:p/>
    <w:p>
      <w:pPr>
        <w:spacing w:before="200" w:after="80"/>
        <w:jc w:val="center"/>
      </w:pPr>
      <w:r>
        <w:rPr>
          <w:rFonts w:ascii="Times New Roman" w:hAnsi="Times New Roman"/>
          <w:b/>
          <w:sz w:val="28"/>
        </w:rPr>
        <w:t>Laboratory Record</w:t>
        <w:br/>
      </w:r>
    </w:p>
    <w:p>
      <w:pPr>
        <w:spacing w:after="400"/>
        <w:jc w:val="center"/>
      </w:pPr>
      <w:r>
        <w:rPr>
          <w:rFonts w:ascii="Times New Roman" w:hAnsi="Times New Roman"/>
          <w:b/>
          <w:color w:val="0284C7"/>
          <w:sz w:val="32"/>
        </w:rPr>
        <w:t>Machine Learning Projects with Python</w:t>
        <w:br/>
        <w:t>(CSE 4192)</w:t>
      </w:r>
    </w:p>
    <w:p>
      <w:pPr>
        <w:spacing w:before="200" w:after="80"/>
      </w:pPr>
      <w:r>
        <w:rPr>
          <w:rFonts w:ascii="Times New Roman" w:hAnsi="Times New Roman"/>
          <w:b/>
          <w:sz w:val="24"/>
        </w:rPr>
        <w:t>Submitted by</w:t>
      </w:r>
    </w:p>
    <w:p>
      <w:pPr>
        <w:spacing w:line="312" w:lineRule="auto"/>
        <w:ind w:left="720"/>
      </w:pPr>
      <w:r>
        <w:rPr>
          <w:rFonts w:ascii="Times New Roman" w:hAnsi="Times New Roman"/>
          <w:b/>
          <w:sz w:val="22"/>
        </w:rPr>
        <w:t>1. Name: Tribhuwan Singh (Regd. No.: 2341019538)</w:t>
        <w:br/>
      </w:r>
      <w:r>
        <w:rPr>
          <w:rFonts w:ascii="Times New Roman" w:hAnsi="Times New Roman"/>
          <w:b/>
          <w:sz w:val="22"/>
        </w:rPr>
        <w:t>2. Name: Surajit Sahoo (Regd. No.: 2341019165)</w:t>
        <w:br/>
      </w:r>
      <w:r>
        <w:rPr>
          <w:rFonts w:ascii="Times New Roman" w:hAnsi="Times New Roman"/>
          <w:b/>
          <w:sz w:val="22"/>
        </w:rPr>
        <w:t>3. Name: Anwesha Srichandan (Regd. No.: 2341019594)</w:t>
        <w:br/>
      </w:r>
      <w:r>
        <w:rPr>
          <w:rFonts w:ascii="Times New Roman" w:hAnsi="Times New Roman"/>
          <w:b/>
          <w:sz w:val="22"/>
        </w:rPr>
        <w:t>4. Name: Priti Rani Maity (Regd. No.: 2341013065)</w:t>
        <w:br/>
      </w:r>
    </w:p>
    <w:p/>
    <w:p>
      <w:pPr>
        <w:spacing w:before="160" w:after="320"/>
        <w:jc w:val="center"/>
      </w:pPr>
      <w:r>
        <w:drawing>
          <wp:inline xmlns:a="http://schemas.openxmlformats.org/drawingml/2006/main" xmlns:pic="http://schemas.openxmlformats.org/drawingml/2006/picture">
            <wp:extent cx="1645920" cy="1643503"/>
            <wp:docPr id="1" name="Picture 1"/>
            <wp:cNvGraphicFramePr>
              <a:graphicFrameLocks noChangeAspect="1"/>
            </wp:cNvGraphicFramePr>
            <a:graphic>
              <a:graphicData uri="http://schemas.openxmlformats.org/drawingml/2006/picture">
                <pic:pic>
                  <pic:nvPicPr>
                    <pic:cNvPr id="0" name="soa_logo.png"/>
                    <pic:cNvPicPr/>
                  </pic:nvPicPr>
                  <pic:blipFill>
                    <a:blip r:embed="rId9"/>
                    <a:stretch>
                      <a:fillRect/>
                    </a:stretch>
                  </pic:blipFill>
                  <pic:spPr>
                    <a:xfrm>
                      <a:off x="0" y="0"/>
                      <a:ext cx="1645920" cy="1643503"/>
                    </a:xfrm>
                    <a:prstGeom prst="rect"/>
                  </pic:spPr>
                </pic:pic>
              </a:graphicData>
            </a:graphic>
          </wp:inline>
        </w:drawing>
      </w:r>
    </w:p>
    <w:p>
      <w:pPr>
        <w:spacing w:before="280" w:after="40"/>
        <w:jc w:val="center"/>
      </w:pPr>
      <w:r>
        <w:rPr>
          <w:rFonts w:ascii="Times New Roman" w:hAnsi="Times New Roman"/>
          <w:b/>
          <w:sz w:val="24"/>
        </w:rPr>
        <w:t>Centre for Artificial Intelligence &amp; Machine Learning</w:t>
        <w:br/>
      </w:r>
      <w:r>
        <w:rPr>
          <w:rFonts w:ascii="Times New Roman" w:hAnsi="Times New Roman"/>
          <w:b/>
          <w:sz w:val="23"/>
        </w:rPr>
        <w:t>Faculty of Engineering &amp; Technology (ITER)</w:t>
        <w:br/>
      </w:r>
      <w:r>
        <w:rPr>
          <w:rFonts w:ascii="Times New Roman" w:hAnsi="Times New Roman"/>
          <w:i/>
          <w:sz w:val="20"/>
        </w:rPr>
        <w:t>Jagamohan Nagar, Jagamara, Bhubaneswar, Odisha – 751030</w:t>
      </w:r>
    </w:p>
    <w:p>
      <w:r>
        <w:br w:type="page"/>
      </w:r>
    </w:p>
    <w:p>
      <w:pPr>
        <w:keepNext/>
        <w:spacing w:before="280" w:after="80"/>
      </w:pPr>
      <w:r>
        <w:rPr>
          <w:rFonts w:ascii="Times New Roman" w:hAnsi="Times New Roman"/>
          <w:b/>
          <w:color w:val="0F172A"/>
          <w:sz w:val="28"/>
        </w:rPr>
        <w:t>1 Introduction</w:t>
      </w:r>
    </w:p>
    <w:p>
      <w:pPr>
        <w:keepNext/>
        <w:spacing w:before="200" w:after="60"/>
      </w:pPr>
      <w:r>
        <w:rPr>
          <w:rFonts w:ascii="Times New Roman" w:hAnsi="Times New Roman"/>
          <w:b/>
          <w:color w:val="0284C7"/>
          <w:sz w:val="24"/>
        </w:rPr>
        <w:t>1.1 Problem Statement</w:t>
      </w:r>
    </w:p>
    <w:p>
      <w:pPr>
        <w:spacing w:after="80" w:line="276" w:lineRule="auto"/>
      </w:pPr>
      <w:r>
        <w:rPr>
          <w:rFonts w:ascii="Times New Roman" w:hAnsi="Times New Roman"/>
          <w:sz w:val="21"/>
        </w:rPr>
        <w:t>Diabetes mellitus is a progressive metabolic disorder characterized by chronic hyperglycemia resulting from defects in insulin secretion, insulin action, or both. Early identification of high-risk individuals is crucial to avert long-term retinopathy, nephropathy, and cardiovascular complications. However, conventional clinical diagnosis relies on static univariate thresholds (e.g., fasting plasma glucose &gt;= 126 mg/dL) that fail to capture non-linear metabolic interactions. Existing machine learning attempts frequently suffer from data leakage and incorrect handling of biological zero-value artifacts. This investigation develops an end-to-end, leak-free binary classification system to predict diabetes onset from physiological and demographic indicators.</w:t>
      </w:r>
    </w:p>
    <w:p>
      <w:pPr>
        <w:keepNext/>
        <w:spacing w:before="200" w:after="60"/>
      </w:pPr>
      <w:r>
        <w:rPr>
          <w:rFonts w:ascii="Times New Roman" w:hAnsi="Times New Roman"/>
          <w:b/>
          <w:color w:val="0284C7"/>
          <w:sz w:val="24"/>
        </w:rPr>
        <w:t>1.2 Aim</w:t>
      </w:r>
    </w:p>
    <w:p>
      <w:pPr>
        <w:spacing w:after="80" w:line="276" w:lineRule="auto"/>
      </w:pPr>
      <w:r>
        <w:rPr>
          <w:rFonts w:ascii="Times New Roman" w:hAnsi="Times New Roman"/>
          <w:sz w:val="21"/>
        </w:rPr>
        <w:t>The primary aim of this laboratory project is to design, implement, optimize, benchmark, and deploy an authoritative Multilayer Perceptron (MLP) neural network capable of predicting 5-year diabetes onset probability from patient biometric markers using the Pima Indians Diabetes Database, comparing its predictive performance against standard machine learning baselines.</w:t>
      </w:r>
    </w:p>
    <w:p>
      <w:pPr>
        <w:keepNext/>
        <w:spacing w:before="200" w:after="60"/>
      </w:pPr>
      <w:r>
        <w:rPr>
          <w:rFonts w:ascii="Times New Roman" w:hAnsi="Times New Roman"/>
          <w:b/>
          <w:color w:val="0284C7"/>
          <w:sz w:val="24"/>
        </w:rPr>
        <w:t>1.3 Objectives</w:t>
      </w:r>
    </w:p>
    <w:p>
      <w:pPr>
        <w:spacing w:after="80" w:line="276" w:lineRule="auto"/>
      </w:pPr>
      <w:r>
        <w:rPr>
          <w:rFonts w:ascii="Times New Roman" w:hAnsi="Times New Roman"/>
          <w:sz w:val="21"/>
        </w:rPr>
        <w:t>The specific SMART research objectives of this project are:</w:t>
      </w:r>
    </w:p>
    <w:p>
      <w:pPr>
        <w:spacing w:after="40"/>
        <w:ind w:left="360"/>
      </w:pPr>
      <w:r>
        <w:t>1. Conduct exhaustive Exploratory Data Analysis (EDA) quantifying target class imbalance (65.1% negative vs. 34.9% positive), skewness, and pairwise correlation structures.</w:t>
      </w:r>
    </w:p>
    <w:p>
      <w:pPr>
        <w:spacing w:after="40"/>
        <w:ind w:left="360"/>
      </w:pPr>
      <w:r>
        <w:t>2. Implement a leak-free preprocessing pipeline that detects biologically implausible zeros in physiological continuous variables and imputes them using training-fitted medians.</w:t>
      </w:r>
    </w:p>
    <w:p>
      <w:pPr>
        <w:spacing w:after="40"/>
        <w:ind w:left="360"/>
      </w:pPr>
      <w:r>
        <w:t>3. Design 16 domain-engineered features (expanding 8 raw features to 24 processed dimensions) incorporating WHO BMI bins, ADA glycemic categories, metabolic ratios, and non-linear log transforms.</w:t>
      </w:r>
    </w:p>
    <w:p>
      <w:pPr>
        <w:spacing w:after="40"/>
        <w:ind w:left="360"/>
      </w:pPr>
      <w:r>
        <w:t>4. Develop and evaluate 7 baseline machine learning classifiers (Logistic Regression, KNN, SVM, Decision Tree, Random Forest, Gradient Boosting, Baseline MLP).</w:t>
      </w:r>
    </w:p>
    <w:p>
      <w:pPr>
        <w:spacing w:after="40"/>
        <w:ind w:left="360"/>
      </w:pPr>
      <w:r>
        <w:t>5. Systematically optimize the Multilayer Perceptron via Grid Search across hidden layer topologies, L2 penalties, learning rates, and batch sizes.</w:t>
      </w:r>
    </w:p>
    <w:p>
      <w:pPr>
        <w:spacing w:after="40"/>
        <w:ind w:left="360"/>
      </w:pPr>
      <w:r>
        <w:t>6. Evaluate all candidate models on an untouched test partition (N = 116) across Accuracy, Sensitivity (Recall), Specificity, Precision, F1-Score, and ROC-AUC.</w:t>
      </w:r>
    </w:p>
    <w:p>
      <w:pPr>
        <w:spacing w:after="40"/>
        <w:ind w:left="360"/>
      </w:pPr>
      <w:r>
        <w:t>7. Deploy the production pipeline to an interactive Streamlit Cloud dashboard supporting single-patient triage, counterfactual sensitivity simulation, and batch cohort screening.</w:t>
      </w:r>
    </w:p>
    <w:p>
      <w:pPr>
        <w:keepNext/>
        <w:spacing w:before="280" w:after="80"/>
      </w:pPr>
      <w:r>
        <w:rPr>
          <w:rFonts w:ascii="Times New Roman" w:hAnsi="Times New Roman"/>
          <w:b/>
          <w:color w:val="0F172A"/>
          <w:sz w:val="28"/>
        </w:rPr>
        <w:t>2 Dataset Description</w:t>
      </w:r>
    </w:p>
    <w:p>
      <w:pPr>
        <w:keepNext/>
        <w:spacing w:before="200" w:after="60"/>
      </w:pPr>
      <w:r>
        <w:rPr>
          <w:rFonts w:ascii="Times New Roman" w:hAnsi="Times New Roman"/>
          <w:b/>
          <w:color w:val="0284C7"/>
          <w:sz w:val="24"/>
        </w:rPr>
        <w:t>2.1 Dataset Source</w:t>
      </w:r>
    </w:p>
    <w:p>
      <w:pPr>
        <w:spacing w:after="80" w:line="276" w:lineRule="auto"/>
      </w:pPr>
      <w:r>
        <w:rPr>
          <w:rFonts w:ascii="Times New Roman" w:hAnsi="Times New Roman"/>
          <w:sz w:val="21"/>
        </w:rPr>
        <w:t>The investigation utilizes the standard Pima Indians Diabetes Database collected by the National Institute of Diabetes and Digestive and Kidney Diseases (NIDDK). The dataset comprises records of female patients of Pima Indian heritage aged 21 years and older.</w:t>
      </w:r>
    </w:p>
    <w:p>
      <w:pPr>
        <w:keepNext/>
        <w:spacing w:before="200" w:after="60"/>
      </w:pPr>
      <w:r>
        <w:rPr>
          <w:rFonts w:ascii="Times New Roman" w:hAnsi="Times New Roman"/>
          <w:b/>
          <w:color w:val="0284C7"/>
          <w:sz w:val="24"/>
        </w:rPr>
        <w:t>2.2 Dataset Features</w:t>
      </w:r>
    </w:p>
    <w:p>
      <w:pPr>
        <w:spacing w:after="80" w:line="276" w:lineRule="auto"/>
      </w:pPr>
      <w:r>
        <w:rPr>
          <w:rFonts w:ascii="Times New Roman" w:hAnsi="Times New Roman"/>
          <w:sz w:val="21"/>
        </w:rPr>
        <w:t>The dataset contains 8 raw clinical and physiological input attributes:</w:t>
      </w:r>
    </w:p>
    <w:p>
      <w:pPr>
        <w:spacing w:after="40"/>
        <w:ind w:left="360"/>
      </w:pPr>
      <w:r>
        <w:t>• Pregnancies: Total count of completed pregnancies.</w:t>
      </w:r>
    </w:p>
    <w:p>
      <w:pPr>
        <w:spacing w:after="40"/>
        <w:ind w:left="360"/>
      </w:pPr>
      <w:r>
        <w:t>• Glucose: Plasma glucose concentration 2 hours after a 75g oral glucose tolerance test (OGTT) in mg/dL.</w:t>
      </w:r>
    </w:p>
    <w:p>
      <w:pPr>
        <w:spacing w:after="40"/>
        <w:ind w:left="360"/>
      </w:pPr>
      <w:r>
        <w:t>• BloodPressure: Diastolic blood pressure reading in mm Hg.</w:t>
      </w:r>
    </w:p>
    <w:p>
      <w:pPr>
        <w:spacing w:after="40"/>
        <w:ind w:left="360"/>
      </w:pPr>
      <w:r>
        <w:t>• SkinThickness: Triceps skinfold caliper thickness in mm (proxy for subcutaneous adiposity).</w:t>
      </w:r>
    </w:p>
    <w:p>
      <w:pPr>
        <w:spacing w:after="40"/>
        <w:ind w:left="360"/>
      </w:pPr>
      <w:r>
        <w:t>• Insulin: 2-Hour post-load serum insulin concentration in μU/mL.</w:t>
      </w:r>
    </w:p>
    <w:p>
      <w:pPr>
        <w:spacing w:after="40"/>
        <w:ind w:left="360"/>
      </w:pPr>
      <w:r>
        <w:t>• BMI: Body Mass Index computed as weight in kg / (height in m)^2.</w:t>
      </w:r>
    </w:p>
    <w:p>
      <w:pPr>
        <w:spacing w:after="40"/>
        <w:ind w:left="360"/>
      </w:pPr>
      <w:r>
        <w:t>• DiabetesPedigreeFunction (DPF): Genetic risk score synthesized from family diabetes history.</w:t>
      </w:r>
    </w:p>
    <w:p>
      <w:pPr>
        <w:spacing w:after="40"/>
        <w:ind w:left="360"/>
      </w:pPr>
      <w:r>
        <w:t>• Age: Chronological patient age in years.</w:t>
      </w:r>
    </w:p>
    <w:p>
      <w:pPr>
        <w:keepNext/>
        <w:spacing w:before="200" w:after="60"/>
      </w:pPr>
      <w:r>
        <w:rPr>
          <w:rFonts w:ascii="Times New Roman" w:hAnsi="Times New Roman"/>
          <w:b/>
          <w:color w:val="0284C7"/>
          <w:sz w:val="24"/>
        </w:rPr>
        <w:t>2.3 Target Variable</w:t>
      </w:r>
    </w:p>
    <w:p>
      <w:pPr>
        <w:spacing w:after="80" w:line="276" w:lineRule="auto"/>
      </w:pPr>
      <w:r>
        <w:rPr>
          <w:rFonts w:ascii="Times New Roman" w:hAnsi="Times New Roman"/>
          <w:sz w:val="21"/>
        </w:rPr>
        <w:t>The target variable is Outcome, a binary classification label indicating whether the patient developed diabetes within five years of initial examination (Outcome = 1 for diabetic, Outcome = 0 for non-diabetic).</w:t>
      </w:r>
    </w:p>
    <w:p>
      <w:pPr>
        <w:keepNext/>
        <w:spacing w:before="200" w:after="60"/>
      </w:pPr>
      <w:r>
        <w:rPr>
          <w:rFonts w:ascii="Times New Roman" w:hAnsi="Times New Roman"/>
          <w:b/>
          <w:color w:val="0284C7"/>
          <w:sz w:val="24"/>
        </w:rPr>
        <w:t>2.4 Dataset Statistics</w:t>
      </w:r>
    </w:p>
    <w:p>
      <w:pPr>
        <w:spacing w:after="80" w:line="276" w:lineRule="auto"/>
      </w:pPr>
      <w:r>
        <w:rPr>
          <w:rFonts w:ascii="Times New Roman" w:hAnsi="Times New Roman"/>
          <w:sz w:val="21"/>
        </w:rPr>
        <w:t>The dataset contains N = 768 patient instances. Summary descriptive statistics are presented in Table 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F172A"/>
            <w:tcMar>
              <w:top w:w="100" w:type="dxa"/>
              <w:bottom w:w="100" w:type="dxa"/>
              <w:left w:w="150" w:type="dxa"/>
              <w:right w:w="150" w:type="dxa"/>
            </w:tcMar>
          </w:tcPr>
          <w:p>
            <w:r>
              <w:rPr>
                <w:b/>
                <w:color w:val="FFFFFF"/>
                <w:sz w:val="19"/>
              </w:rPr>
              <w:t>Feature</w:t>
            </w:r>
          </w:p>
        </w:tc>
        <w:tc>
          <w:tcPr>
            <w:tcW w:type="dxa" w:w="1560"/>
            <w:shd w:fill="0F172A"/>
            <w:tcMar>
              <w:top w:w="100" w:type="dxa"/>
              <w:bottom w:w="100" w:type="dxa"/>
              <w:left w:w="150" w:type="dxa"/>
              <w:right w:w="150" w:type="dxa"/>
            </w:tcMar>
          </w:tcPr>
          <w:p>
            <w:r>
              <w:rPr>
                <w:b/>
                <w:color w:val="FFFFFF"/>
                <w:sz w:val="19"/>
              </w:rPr>
              <w:t>Type</w:t>
            </w:r>
          </w:p>
        </w:tc>
        <w:tc>
          <w:tcPr>
            <w:tcW w:type="dxa" w:w="1560"/>
            <w:shd w:fill="0F172A"/>
            <w:tcMar>
              <w:top w:w="100" w:type="dxa"/>
              <w:bottom w:w="100" w:type="dxa"/>
              <w:left w:w="150" w:type="dxa"/>
              <w:right w:w="150" w:type="dxa"/>
            </w:tcMar>
          </w:tcPr>
          <w:p>
            <w:r>
              <w:rPr>
                <w:b/>
                <w:color w:val="FFFFFF"/>
                <w:sz w:val="19"/>
              </w:rPr>
              <w:t>Mean ± SD</w:t>
            </w:r>
          </w:p>
        </w:tc>
        <w:tc>
          <w:tcPr>
            <w:tcW w:type="dxa" w:w="1560"/>
            <w:shd w:fill="0F172A"/>
            <w:tcMar>
              <w:top w:w="100" w:type="dxa"/>
              <w:bottom w:w="100" w:type="dxa"/>
              <w:left w:w="150" w:type="dxa"/>
              <w:right w:w="150" w:type="dxa"/>
            </w:tcMar>
          </w:tcPr>
          <w:p>
            <w:r>
              <w:rPr>
                <w:b/>
                <w:color w:val="FFFFFF"/>
                <w:sz w:val="19"/>
              </w:rPr>
              <w:t>Min</w:t>
            </w:r>
          </w:p>
        </w:tc>
        <w:tc>
          <w:tcPr>
            <w:tcW w:type="dxa" w:w="1560"/>
            <w:shd w:fill="0F172A"/>
            <w:tcMar>
              <w:top w:w="100" w:type="dxa"/>
              <w:bottom w:w="100" w:type="dxa"/>
              <w:left w:w="150" w:type="dxa"/>
              <w:right w:w="150" w:type="dxa"/>
            </w:tcMar>
          </w:tcPr>
          <w:p>
            <w:r>
              <w:rPr>
                <w:b/>
                <w:color w:val="FFFFFF"/>
                <w:sz w:val="19"/>
              </w:rPr>
              <w:t>Max</w:t>
            </w:r>
          </w:p>
        </w:tc>
        <w:tc>
          <w:tcPr>
            <w:tcW w:type="dxa" w:w="1560"/>
            <w:shd w:fill="0F172A"/>
            <w:tcMar>
              <w:top w:w="100" w:type="dxa"/>
              <w:bottom w:w="100" w:type="dxa"/>
              <w:left w:w="150" w:type="dxa"/>
              <w:right w:w="150" w:type="dxa"/>
            </w:tcMar>
          </w:tcPr>
          <w:p>
            <w:r>
              <w:rPr>
                <w:b/>
                <w:color w:val="FFFFFF"/>
                <w:sz w:val="19"/>
              </w:rPr>
              <w:t>Zero Count (%)</w:t>
            </w:r>
          </w:p>
        </w:tc>
      </w:tr>
      <w:tr>
        <w:tc>
          <w:tcPr>
            <w:tcW w:type="dxa" w:w="1560"/>
            <w:tcMar>
              <w:top w:w="100" w:type="dxa"/>
              <w:bottom w:w="100" w:type="dxa"/>
              <w:left w:w="150" w:type="dxa"/>
              <w:right w:w="150" w:type="dxa"/>
            </w:tcMar>
          </w:tcPr>
          <w:p>
            <w:r>
              <w:rPr>
                <w:sz w:val="18"/>
              </w:rPr>
              <w:t>Pregnancies</w:t>
            </w:r>
          </w:p>
        </w:tc>
        <w:tc>
          <w:tcPr>
            <w:tcW w:type="dxa" w:w="1560"/>
            <w:tcMar>
              <w:top w:w="100" w:type="dxa"/>
              <w:bottom w:w="100" w:type="dxa"/>
              <w:left w:w="150" w:type="dxa"/>
              <w:right w:w="150" w:type="dxa"/>
            </w:tcMar>
          </w:tcPr>
          <w:p>
            <w:r>
              <w:rPr>
                <w:sz w:val="18"/>
              </w:rPr>
              <w:t>Discrete</w:t>
            </w:r>
          </w:p>
        </w:tc>
        <w:tc>
          <w:tcPr>
            <w:tcW w:type="dxa" w:w="1560"/>
            <w:tcMar>
              <w:top w:w="100" w:type="dxa"/>
              <w:bottom w:w="100" w:type="dxa"/>
              <w:left w:w="150" w:type="dxa"/>
              <w:right w:w="150" w:type="dxa"/>
            </w:tcMar>
          </w:tcPr>
          <w:p>
            <w:r>
              <w:rPr>
                <w:sz w:val="18"/>
              </w:rPr>
              <w:t>3.85 ± 3.37</w:t>
            </w:r>
          </w:p>
        </w:tc>
        <w:tc>
          <w:tcPr>
            <w:tcW w:type="dxa" w:w="1560"/>
            <w:tcMar>
              <w:top w:w="100" w:type="dxa"/>
              <w:bottom w:w="100" w:type="dxa"/>
              <w:left w:w="150" w:type="dxa"/>
              <w:right w:w="150" w:type="dxa"/>
            </w:tcMar>
          </w:tcPr>
          <w:p>
            <w:r>
              <w:rPr>
                <w:sz w:val="18"/>
              </w:rPr>
              <w:t>0</w:t>
            </w:r>
          </w:p>
        </w:tc>
        <w:tc>
          <w:tcPr>
            <w:tcW w:type="dxa" w:w="1560"/>
            <w:tcMar>
              <w:top w:w="100" w:type="dxa"/>
              <w:bottom w:w="100" w:type="dxa"/>
              <w:left w:w="150" w:type="dxa"/>
              <w:right w:w="150" w:type="dxa"/>
            </w:tcMar>
          </w:tcPr>
          <w:p>
            <w:r>
              <w:rPr>
                <w:sz w:val="18"/>
              </w:rPr>
              <w:t>17</w:t>
            </w:r>
          </w:p>
        </w:tc>
        <w:tc>
          <w:tcPr>
            <w:tcW w:type="dxa" w:w="1560"/>
            <w:tcMar>
              <w:top w:w="100" w:type="dxa"/>
              <w:bottom w:w="100" w:type="dxa"/>
              <w:left w:w="150" w:type="dxa"/>
              <w:right w:w="150" w:type="dxa"/>
            </w:tcMar>
          </w:tcPr>
          <w:p>
            <w:r>
              <w:rPr>
                <w:sz w:val="18"/>
              </w:rPr>
              <w:t>111 (14.45%)*</w:t>
            </w:r>
          </w:p>
        </w:tc>
      </w:tr>
      <w:tr>
        <w:tc>
          <w:tcPr>
            <w:tcW w:type="dxa" w:w="1560"/>
            <w:tcMar>
              <w:top w:w="100" w:type="dxa"/>
              <w:bottom w:w="100" w:type="dxa"/>
              <w:left w:w="150" w:type="dxa"/>
              <w:right w:w="150" w:type="dxa"/>
            </w:tcMar>
          </w:tcPr>
          <w:p>
            <w:r>
              <w:rPr>
                <w:sz w:val="18"/>
              </w:rPr>
              <w:t>Glucose</w:t>
            </w:r>
          </w:p>
        </w:tc>
        <w:tc>
          <w:tcPr>
            <w:tcW w:type="dxa" w:w="1560"/>
            <w:tcMar>
              <w:top w:w="100" w:type="dxa"/>
              <w:bottom w:w="100" w:type="dxa"/>
              <w:left w:w="150" w:type="dxa"/>
              <w:right w:w="150" w:type="dxa"/>
            </w:tcMar>
          </w:tcPr>
          <w:p>
            <w:r>
              <w:rPr>
                <w:sz w:val="18"/>
              </w:rPr>
              <w:t>Continuous</w:t>
            </w:r>
          </w:p>
        </w:tc>
        <w:tc>
          <w:tcPr>
            <w:tcW w:type="dxa" w:w="1560"/>
            <w:tcMar>
              <w:top w:w="100" w:type="dxa"/>
              <w:bottom w:w="100" w:type="dxa"/>
              <w:left w:w="150" w:type="dxa"/>
              <w:right w:w="150" w:type="dxa"/>
            </w:tcMar>
          </w:tcPr>
          <w:p>
            <w:r>
              <w:rPr>
                <w:sz w:val="18"/>
              </w:rPr>
              <w:t>120.89 ± 31.97</w:t>
            </w:r>
          </w:p>
        </w:tc>
        <w:tc>
          <w:tcPr>
            <w:tcW w:type="dxa" w:w="1560"/>
            <w:tcMar>
              <w:top w:w="100" w:type="dxa"/>
              <w:bottom w:w="100" w:type="dxa"/>
              <w:left w:w="150" w:type="dxa"/>
              <w:right w:w="150" w:type="dxa"/>
            </w:tcMar>
          </w:tcPr>
          <w:p>
            <w:r>
              <w:rPr>
                <w:sz w:val="18"/>
              </w:rPr>
              <w:t>0 (44)</w:t>
            </w:r>
          </w:p>
        </w:tc>
        <w:tc>
          <w:tcPr>
            <w:tcW w:type="dxa" w:w="1560"/>
            <w:tcMar>
              <w:top w:w="100" w:type="dxa"/>
              <w:bottom w:w="100" w:type="dxa"/>
              <w:left w:w="150" w:type="dxa"/>
              <w:right w:w="150" w:type="dxa"/>
            </w:tcMar>
          </w:tcPr>
          <w:p>
            <w:r>
              <w:rPr>
                <w:sz w:val="18"/>
              </w:rPr>
              <w:t>199</w:t>
            </w:r>
          </w:p>
        </w:tc>
        <w:tc>
          <w:tcPr>
            <w:tcW w:type="dxa" w:w="1560"/>
            <w:tcMar>
              <w:top w:w="100" w:type="dxa"/>
              <w:bottom w:w="100" w:type="dxa"/>
              <w:left w:w="150" w:type="dxa"/>
              <w:right w:w="150" w:type="dxa"/>
            </w:tcMar>
          </w:tcPr>
          <w:p>
            <w:r>
              <w:rPr>
                <w:sz w:val="18"/>
              </w:rPr>
              <w:t>5 (0.65%)</w:t>
            </w:r>
          </w:p>
        </w:tc>
      </w:tr>
      <w:tr>
        <w:tc>
          <w:tcPr>
            <w:tcW w:type="dxa" w:w="1560"/>
            <w:tcMar>
              <w:top w:w="100" w:type="dxa"/>
              <w:bottom w:w="100" w:type="dxa"/>
              <w:left w:w="150" w:type="dxa"/>
              <w:right w:w="150" w:type="dxa"/>
            </w:tcMar>
          </w:tcPr>
          <w:p>
            <w:r>
              <w:rPr>
                <w:sz w:val="18"/>
              </w:rPr>
              <w:t>BloodPressure</w:t>
            </w:r>
          </w:p>
        </w:tc>
        <w:tc>
          <w:tcPr>
            <w:tcW w:type="dxa" w:w="1560"/>
            <w:tcMar>
              <w:top w:w="100" w:type="dxa"/>
              <w:bottom w:w="100" w:type="dxa"/>
              <w:left w:w="150" w:type="dxa"/>
              <w:right w:w="150" w:type="dxa"/>
            </w:tcMar>
          </w:tcPr>
          <w:p>
            <w:r>
              <w:rPr>
                <w:sz w:val="18"/>
              </w:rPr>
              <w:t>Continuous</w:t>
            </w:r>
          </w:p>
        </w:tc>
        <w:tc>
          <w:tcPr>
            <w:tcW w:type="dxa" w:w="1560"/>
            <w:tcMar>
              <w:top w:w="100" w:type="dxa"/>
              <w:bottom w:w="100" w:type="dxa"/>
              <w:left w:w="150" w:type="dxa"/>
              <w:right w:w="150" w:type="dxa"/>
            </w:tcMar>
          </w:tcPr>
          <w:p>
            <w:r>
              <w:rPr>
                <w:sz w:val="18"/>
              </w:rPr>
              <w:t>69.11 ± 19.36</w:t>
            </w:r>
          </w:p>
        </w:tc>
        <w:tc>
          <w:tcPr>
            <w:tcW w:type="dxa" w:w="1560"/>
            <w:tcMar>
              <w:top w:w="100" w:type="dxa"/>
              <w:bottom w:w="100" w:type="dxa"/>
              <w:left w:w="150" w:type="dxa"/>
              <w:right w:w="150" w:type="dxa"/>
            </w:tcMar>
          </w:tcPr>
          <w:p>
            <w:r>
              <w:rPr>
                <w:sz w:val="18"/>
              </w:rPr>
              <w:t>0 (24)</w:t>
            </w:r>
          </w:p>
        </w:tc>
        <w:tc>
          <w:tcPr>
            <w:tcW w:type="dxa" w:w="1560"/>
            <w:tcMar>
              <w:top w:w="100" w:type="dxa"/>
              <w:bottom w:w="100" w:type="dxa"/>
              <w:left w:w="150" w:type="dxa"/>
              <w:right w:w="150" w:type="dxa"/>
            </w:tcMar>
          </w:tcPr>
          <w:p>
            <w:r>
              <w:rPr>
                <w:sz w:val="18"/>
              </w:rPr>
              <w:t>122</w:t>
            </w:r>
          </w:p>
        </w:tc>
        <w:tc>
          <w:tcPr>
            <w:tcW w:type="dxa" w:w="1560"/>
            <w:tcMar>
              <w:top w:w="100" w:type="dxa"/>
              <w:bottom w:w="100" w:type="dxa"/>
              <w:left w:w="150" w:type="dxa"/>
              <w:right w:w="150" w:type="dxa"/>
            </w:tcMar>
          </w:tcPr>
          <w:p>
            <w:r>
              <w:rPr>
                <w:sz w:val="18"/>
              </w:rPr>
              <w:t>35 (4.56%)</w:t>
            </w:r>
          </w:p>
        </w:tc>
      </w:tr>
      <w:tr>
        <w:tc>
          <w:tcPr>
            <w:tcW w:type="dxa" w:w="1560"/>
            <w:tcMar>
              <w:top w:w="100" w:type="dxa"/>
              <w:bottom w:w="100" w:type="dxa"/>
              <w:left w:w="150" w:type="dxa"/>
              <w:right w:w="150" w:type="dxa"/>
            </w:tcMar>
          </w:tcPr>
          <w:p>
            <w:r>
              <w:rPr>
                <w:sz w:val="18"/>
              </w:rPr>
              <w:t>SkinThickness</w:t>
            </w:r>
          </w:p>
        </w:tc>
        <w:tc>
          <w:tcPr>
            <w:tcW w:type="dxa" w:w="1560"/>
            <w:tcMar>
              <w:top w:w="100" w:type="dxa"/>
              <w:bottom w:w="100" w:type="dxa"/>
              <w:left w:w="150" w:type="dxa"/>
              <w:right w:w="150" w:type="dxa"/>
            </w:tcMar>
          </w:tcPr>
          <w:p>
            <w:r>
              <w:rPr>
                <w:sz w:val="18"/>
              </w:rPr>
              <w:t>Continuous</w:t>
            </w:r>
          </w:p>
        </w:tc>
        <w:tc>
          <w:tcPr>
            <w:tcW w:type="dxa" w:w="1560"/>
            <w:tcMar>
              <w:top w:w="100" w:type="dxa"/>
              <w:bottom w:w="100" w:type="dxa"/>
              <w:left w:w="150" w:type="dxa"/>
              <w:right w:w="150" w:type="dxa"/>
            </w:tcMar>
          </w:tcPr>
          <w:p>
            <w:r>
              <w:rPr>
                <w:sz w:val="18"/>
              </w:rPr>
              <w:t>20.54 ± 15.95</w:t>
            </w:r>
          </w:p>
        </w:tc>
        <w:tc>
          <w:tcPr>
            <w:tcW w:type="dxa" w:w="1560"/>
            <w:tcMar>
              <w:top w:w="100" w:type="dxa"/>
              <w:bottom w:w="100" w:type="dxa"/>
              <w:left w:w="150" w:type="dxa"/>
              <w:right w:w="150" w:type="dxa"/>
            </w:tcMar>
          </w:tcPr>
          <w:p>
            <w:r>
              <w:rPr>
                <w:sz w:val="18"/>
              </w:rPr>
              <w:t>0 (7)</w:t>
            </w:r>
          </w:p>
        </w:tc>
        <w:tc>
          <w:tcPr>
            <w:tcW w:type="dxa" w:w="1560"/>
            <w:tcMar>
              <w:top w:w="100" w:type="dxa"/>
              <w:bottom w:w="100" w:type="dxa"/>
              <w:left w:w="150" w:type="dxa"/>
              <w:right w:w="150" w:type="dxa"/>
            </w:tcMar>
          </w:tcPr>
          <w:p>
            <w:r>
              <w:rPr>
                <w:sz w:val="18"/>
              </w:rPr>
              <w:t>99</w:t>
            </w:r>
          </w:p>
        </w:tc>
        <w:tc>
          <w:tcPr>
            <w:tcW w:type="dxa" w:w="1560"/>
            <w:tcMar>
              <w:top w:w="100" w:type="dxa"/>
              <w:bottom w:w="100" w:type="dxa"/>
              <w:left w:w="150" w:type="dxa"/>
              <w:right w:w="150" w:type="dxa"/>
            </w:tcMar>
          </w:tcPr>
          <w:p>
            <w:r>
              <w:rPr>
                <w:sz w:val="18"/>
              </w:rPr>
              <w:t>227 (29.56%)</w:t>
            </w:r>
          </w:p>
        </w:tc>
      </w:tr>
      <w:tr>
        <w:tc>
          <w:tcPr>
            <w:tcW w:type="dxa" w:w="1560"/>
            <w:tcMar>
              <w:top w:w="100" w:type="dxa"/>
              <w:bottom w:w="100" w:type="dxa"/>
              <w:left w:w="150" w:type="dxa"/>
              <w:right w:w="150" w:type="dxa"/>
            </w:tcMar>
          </w:tcPr>
          <w:p>
            <w:r>
              <w:rPr>
                <w:sz w:val="18"/>
              </w:rPr>
              <w:t>Insulin</w:t>
            </w:r>
          </w:p>
        </w:tc>
        <w:tc>
          <w:tcPr>
            <w:tcW w:type="dxa" w:w="1560"/>
            <w:tcMar>
              <w:top w:w="100" w:type="dxa"/>
              <w:bottom w:w="100" w:type="dxa"/>
              <w:left w:w="150" w:type="dxa"/>
              <w:right w:w="150" w:type="dxa"/>
            </w:tcMar>
          </w:tcPr>
          <w:p>
            <w:r>
              <w:rPr>
                <w:sz w:val="18"/>
              </w:rPr>
              <w:t>Continuous</w:t>
            </w:r>
          </w:p>
        </w:tc>
        <w:tc>
          <w:tcPr>
            <w:tcW w:type="dxa" w:w="1560"/>
            <w:tcMar>
              <w:top w:w="100" w:type="dxa"/>
              <w:bottom w:w="100" w:type="dxa"/>
              <w:left w:w="150" w:type="dxa"/>
              <w:right w:w="150" w:type="dxa"/>
            </w:tcMar>
          </w:tcPr>
          <w:p>
            <w:r>
              <w:rPr>
                <w:sz w:val="18"/>
              </w:rPr>
              <w:t>79.80 ± 115.24</w:t>
            </w:r>
          </w:p>
        </w:tc>
        <w:tc>
          <w:tcPr>
            <w:tcW w:type="dxa" w:w="1560"/>
            <w:tcMar>
              <w:top w:w="100" w:type="dxa"/>
              <w:bottom w:w="100" w:type="dxa"/>
              <w:left w:w="150" w:type="dxa"/>
              <w:right w:w="150" w:type="dxa"/>
            </w:tcMar>
          </w:tcPr>
          <w:p>
            <w:r>
              <w:rPr>
                <w:sz w:val="18"/>
              </w:rPr>
              <w:t>0 (14)</w:t>
            </w:r>
          </w:p>
        </w:tc>
        <w:tc>
          <w:tcPr>
            <w:tcW w:type="dxa" w:w="1560"/>
            <w:tcMar>
              <w:top w:w="100" w:type="dxa"/>
              <w:bottom w:w="100" w:type="dxa"/>
              <w:left w:w="150" w:type="dxa"/>
              <w:right w:w="150" w:type="dxa"/>
            </w:tcMar>
          </w:tcPr>
          <w:p>
            <w:r>
              <w:rPr>
                <w:sz w:val="18"/>
              </w:rPr>
              <w:t>846</w:t>
            </w:r>
          </w:p>
        </w:tc>
        <w:tc>
          <w:tcPr>
            <w:tcW w:type="dxa" w:w="1560"/>
            <w:tcMar>
              <w:top w:w="100" w:type="dxa"/>
              <w:bottom w:w="100" w:type="dxa"/>
              <w:left w:w="150" w:type="dxa"/>
              <w:right w:w="150" w:type="dxa"/>
            </w:tcMar>
          </w:tcPr>
          <w:p>
            <w:r>
              <w:rPr>
                <w:sz w:val="18"/>
              </w:rPr>
              <w:t>374 (48.70%)</w:t>
            </w:r>
          </w:p>
        </w:tc>
      </w:tr>
      <w:tr>
        <w:tc>
          <w:tcPr>
            <w:tcW w:type="dxa" w:w="1560"/>
            <w:tcMar>
              <w:top w:w="100" w:type="dxa"/>
              <w:bottom w:w="100" w:type="dxa"/>
              <w:left w:w="150" w:type="dxa"/>
              <w:right w:w="150" w:type="dxa"/>
            </w:tcMar>
          </w:tcPr>
          <w:p>
            <w:r>
              <w:rPr>
                <w:sz w:val="18"/>
              </w:rPr>
              <w:t>BMI</w:t>
            </w:r>
          </w:p>
        </w:tc>
        <w:tc>
          <w:tcPr>
            <w:tcW w:type="dxa" w:w="1560"/>
            <w:tcMar>
              <w:top w:w="100" w:type="dxa"/>
              <w:bottom w:w="100" w:type="dxa"/>
              <w:left w:w="150" w:type="dxa"/>
              <w:right w:w="150" w:type="dxa"/>
            </w:tcMar>
          </w:tcPr>
          <w:p>
            <w:r>
              <w:rPr>
                <w:sz w:val="18"/>
              </w:rPr>
              <w:t>Continuous</w:t>
            </w:r>
          </w:p>
        </w:tc>
        <w:tc>
          <w:tcPr>
            <w:tcW w:type="dxa" w:w="1560"/>
            <w:tcMar>
              <w:top w:w="100" w:type="dxa"/>
              <w:bottom w:w="100" w:type="dxa"/>
              <w:left w:w="150" w:type="dxa"/>
              <w:right w:w="150" w:type="dxa"/>
            </w:tcMar>
          </w:tcPr>
          <w:p>
            <w:r>
              <w:rPr>
                <w:sz w:val="18"/>
              </w:rPr>
              <w:t>31.99 ± 7.88</w:t>
            </w:r>
          </w:p>
        </w:tc>
        <w:tc>
          <w:tcPr>
            <w:tcW w:type="dxa" w:w="1560"/>
            <w:tcMar>
              <w:top w:w="100" w:type="dxa"/>
              <w:bottom w:w="100" w:type="dxa"/>
              <w:left w:w="150" w:type="dxa"/>
              <w:right w:w="150" w:type="dxa"/>
            </w:tcMar>
          </w:tcPr>
          <w:p>
            <w:r>
              <w:rPr>
                <w:sz w:val="18"/>
              </w:rPr>
              <w:t>0 (18.2)</w:t>
            </w:r>
          </w:p>
        </w:tc>
        <w:tc>
          <w:tcPr>
            <w:tcW w:type="dxa" w:w="1560"/>
            <w:tcMar>
              <w:top w:w="100" w:type="dxa"/>
              <w:bottom w:w="100" w:type="dxa"/>
              <w:left w:w="150" w:type="dxa"/>
              <w:right w:w="150" w:type="dxa"/>
            </w:tcMar>
          </w:tcPr>
          <w:p>
            <w:r>
              <w:rPr>
                <w:sz w:val="18"/>
              </w:rPr>
              <w:t>67.1</w:t>
            </w:r>
          </w:p>
        </w:tc>
        <w:tc>
          <w:tcPr>
            <w:tcW w:type="dxa" w:w="1560"/>
            <w:tcMar>
              <w:top w:w="100" w:type="dxa"/>
              <w:bottom w:w="100" w:type="dxa"/>
              <w:left w:w="150" w:type="dxa"/>
              <w:right w:w="150" w:type="dxa"/>
            </w:tcMar>
          </w:tcPr>
          <w:p>
            <w:r>
              <w:rPr>
                <w:sz w:val="18"/>
              </w:rPr>
              <w:t>11 (1.43%)</w:t>
            </w:r>
          </w:p>
        </w:tc>
      </w:tr>
      <w:tr>
        <w:tc>
          <w:tcPr>
            <w:tcW w:type="dxa" w:w="1560"/>
            <w:tcMar>
              <w:top w:w="100" w:type="dxa"/>
              <w:bottom w:w="100" w:type="dxa"/>
              <w:left w:w="150" w:type="dxa"/>
              <w:right w:w="150" w:type="dxa"/>
            </w:tcMar>
          </w:tcPr>
          <w:p>
            <w:r>
              <w:rPr>
                <w:sz w:val="18"/>
              </w:rPr>
              <w:t>DiabetesPedigree</w:t>
            </w:r>
          </w:p>
        </w:tc>
        <w:tc>
          <w:tcPr>
            <w:tcW w:type="dxa" w:w="1560"/>
            <w:tcMar>
              <w:top w:w="100" w:type="dxa"/>
              <w:bottom w:w="100" w:type="dxa"/>
              <w:left w:w="150" w:type="dxa"/>
              <w:right w:w="150" w:type="dxa"/>
            </w:tcMar>
          </w:tcPr>
          <w:p>
            <w:r>
              <w:rPr>
                <w:sz w:val="18"/>
              </w:rPr>
              <w:t>Continuous</w:t>
            </w:r>
          </w:p>
        </w:tc>
        <w:tc>
          <w:tcPr>
            <w:tcW w:type="dxa" w:w="1560"/>
            <w:tcMar>
              <w:top w:w="100" w:type="dxa"/>
              <w:bottom w:w="100" w:type="dxa"/>
              <w:left w:w="150" w:type="dxa"/>
              <w:right w:w="150" w:type="dxa"/>
            </w:tcMar>
          </w:tcPr>
          <w:p>
            <w:r>
              <w:rPr>
                <w:sz w:val="18"/>
              </w:rPr>
              <w:t>0.47 ± 0.33</w:t>
            </w:r>
          </w:p>
        </w:tc>
        <w:tc>
          <w:tcPr>
            <w:tcW w:type="dxa" w:w="1560"/>
            <w:tcMar>
              <w:top w:w="100" w:type="dxa"/>
              <w:bottom w:w="100" w:type="dxa"/>
              <w:left w:w="150" w:type="dxa"/>
              <w:right w:w="150" w:type="dxa"/>
            </w:tcMar>
          </w:tcPr>
          <w:p>
            <w:r>
              <w:rPr>
                <w:sz w:val="18"/>
              </w:rPr>
              <w:t>0.078</w:t>
            </w:r>
          </w:p>
        </w:tc>
        <w:tc>
          <w:tcPr>
            <w:tcW w:type="dxa" w:w="1560"/>
            <w:tcMar>
              <w:top w:w="100" w:type="dxa"/>
              <w:bottom w:w="100" w:type="dxa"/>
              <w:left w:w="150" w:type="dxa"/>
              <w:right w:w="150" w:type="dxa"/>
            </w:tcMar>
          </w:tcPr>
          <w:p>
            <w:r>
              <w:rPr>
                <w:sz w:val="18"/>
              </w:rPr>
              <w:t>2.42</w:t>
            </w:r>
          </w:p>
        </w:tc>
        <w:tc>
          <w:tcPr>
            <w:tcW w:type="dxa" w:w="1560"/>
            <w:tcMar>
              <w:top w:w="100" w:type="dxa"/>
              <w:bottom w:w="100" w:type="dxa"/>
              <w:left w:w="150" w:type="dxa"/>
              <w:right w:w="150" w:type="dxa"/>
            </w:tcMar>
          </w:tcPr>
          <w:p>
            <w:r>
              <w:rPr>
                <w:sz w:val="18"/>
              </w:rPr>
              <w:t>0 (0.00%)</w:t>
            </w:r>
          </w:p>
        </w:tc>
      </w:tr>
      <w:tr>
        <w:tc>
          <w:tcPr>
            <w:tcW w:type="dxa" w:w="1560"/>
            <w:tcMar>
              <w:top w:w="100" w:type="dxa"/>
              <w:bottom w:w="100" w:type="dxa"/>
              <w:left w:w="150" w:type="dxa"/>
              <w:right w:w="150" w:type="dxa"/>
            </w:tcMar>
          </w:tcPr>
          <w:p>
            <w:r>
              <w:rPr>
                <w:sz w:val="18"/>
              </w:rPr>
              <w:t>Age</w:t>
            </w:r>
          </w:p>
        </w:tc>
        <w:tc>
          <w:tcPr>
            <w:tcW w:type="dxa" w:w="1560"/>
            <w:tcMar>
              <w:top w:w="100" w:type="dxa"/>
              <w:bottom w:w="100" w:type="dxa"/>
              <w:left w:w="150" w:type="dxa"/>
              <w:right w:w="150" w:type="dxa"/>
            </w:tcMar>
          </w:tcPr>
          <w:p>
            <w:r>
              <w:rPr>
                <w:sz w:val="18"/>
              </w:rPr>
              <w:t>Discrete</w:t>
            </w:r>
          </w:p>
        </w:tc>
        <w:tc>
          <w:tcPr>
            <w:tcW w:type="dxa" w:w="1560"/>
            <w:tcMar>
              <w:top w:w="100" w:type="dxa"/>
              <w:bottom w:w="100" w:type="dxa"/>
              <w:left w:w="150" w:type="dxa"/>
              <w:right w:w="150" w:type="dxa"/>
            </w:tcMar>
          </w:tcPr>
          <w:p>
            <w:r>
              <w:rPr>
                <w:sz w:val="18"/>
              </w:rPr>
              <w:t>33.24 ± 11.76</w:t>
            </w:r>
          </w:p>
        </w:tc>
        <w:tc>
          <w:tcPr>
            <w:tcW w:type="dxa" w:w="1560"/>
            <w:tcMar>
              <w:top w:w="100" w:type="dxa"/>
              <w:bottom w:w="100" w:type="dxa"/>
              <w:left w:w="150" w:type="dxa"/>
              <w:right w:w="150" w:type="dxa"/>
            </w:tcMar>
          </w:tcPr>
          <w:p>
            <w:r>
              <w:rPr>
                <w:sz w:val="18"/>
              </w:rPr>
              <w:t>21</w:t>
            </w:r>
          </w:p>
        </w:tc>
        <w:tc>
          <w:tcPr>
            <w:tcW w:type="dxa" w:w="1560"/>
            <w:tcMar>
              <w:top w:w="100" w:type="dxa"/>
              <w:bottom w:w="100" w:type="dxa"/>
              <w:left w:w="150" w:type="dxa"/>
              <w:right w:w="150" w:type="dxa"/>
            </w:tcMar>
          </w:tcPr>
          <w:p>
            <w:r>
              <w:rPr>
                <w:sz w:val="18"/>
              </w:rPr>
              <w:t>81</w:t>
            </w:r>
          </w:p>
        </w:tc>
        <w:tc>
          <w:tcPr>
            <w:tcW w:type="dxa" w:w="1560"/>
            <w:tcMar>
              <w:top w:w="100" w:type="dxa"/>
              <w:bottom w:w="100" w:type="dxa"/>
              <w:left w:w="150" w:type="dxa"/>
              <w:right w:w="150" w:type="dxa"/>
            </w:tcMar>
          </w:tcPr>
          <w:p>
            <w:r>
              <w:rPr>
                <w:sz w:val="18"/>
              </w:rPr>
              <w:t>0 (0.00%)</w:t>
            </w:r>
          </w:p>
        </w:tc>
      </w:tr>
      <w:tr>
        <w:tc>
          <w:tcPr>
            <w:tcW w:type="dxa" w:w="1560"/>
            <w:tcMar>
              <w:top w:w="100" w:type="dxa"/>
              <w:bottom w:w="100" w:type="dxa"/>
              <w:left w:w="150" w:type="dxa"/>
              <w:right w:w="150" w:type="dxa"/>
            </w:tcMar>
          </w:tcPr>
          <w:p>
            <w:r>
              <w:rPr>
                <w:sz w:val="18"/>
              </w:rPr>
              <w:t>Outcome</w:t>
            </w:r>
          </w:p>
        </w:tc>
        <w:tc>
          <w:tcPr>
            <w:tcW w:type="dxa" w:w="1560"/>
            <w:tcMar>
              <w:top w:w="100" w:type="dxa"/>
              <w:bottom w:w="100" w:type="dxa"/>
              <w:left w:w="150" w:type="dxa"/>
              <w:right w:w="150" w:type="dxa"/>
            </w:tcMar>
          </w:tcPr>
          <w:p>
            <w:r>
              <w:rPr>
                <w:sz w:val="18"/>
              </w:rPr>
              <w:t>Binary</w:t>
            </w:r>
          </w:p>
        </w:tc>
        <w:tc>
          <w:tcPr>
            <w:tcW w:type="dxa" w:w="1560"/>
            <w:tcMar>
              <w:top w:w="100" w:type="dxa"/>
              <w:bottom w:w="100" w:type="dxa"/>
              <w:left w:w="150" w:type="dxa"/>
              <w:right w:w="150" w:type="dxa"/>
            </w:tcMar>
          </w:tcPr>
          <w:p>
            <w:r>
              <w:rPr>
                <w:sz w:val="18"/>
              </w:rPr>
              <w:t>0.35 ± 0.48</w:t>
            </w:r>
          </w:p>
        </w:tc>
        <w:tc>
          <w:tcPr>
            <w:tcW w:type="dxa" w:w="1560"/>
            <w:tcMar>
              <w:top w:w="100" w:type="dxa"/>
              <w:bottom w:w="100" w:type="dxa"/>
              <w:left w:w="150" w:type="dxa"/>
              <w:right w:w="150" w:type="dxa"/>
            </w:tcMar>
          </w:tcPr>
          <w:p>
            <w:r>
              <w:rPr>
                <w:sz w:val="18"/>
              </w:rPr>
              <w:t>0</w:t>
            </w:r>
          </w:p>
        </w:tc>
        <w:tc>
          <w:tcPr>
            <w:tcW w:type="dxa" w:w="1560"/>
            <w:tcMar>
              <w:top w:w="100" w:type="dxa"/>
              <w:bottom w:w="100" w:type="dxa"/>
              <w:left w:w="150" w:type="dxa"/>
              <w:right w:w="150" w:type="dxa"/>
            </w:tcMar>
          </w:tcPr>
          <w:p>
            <w:r>
              <w:rPr>
                <w:sz w:val="18"/>
              </w:rPr>
              <w:t>1</w:t>
            </w:r>
          </w:p>
        </w:tc>
        <w:tc>
          <w:tcPr>
            <w:tcW w:type="dxa" w:w="1560"/>
            <w:tcMar>
              <w:top w:w="100" w:type="dxa"/>
              <w:bottom w:w="100" w:type="dxa"/>
              <w:left w:w="150" w:type="dxa"/>
              <w:right w:w="150" w:type="dxa"/>
            </w:tcMar>
          </w:tcPr>
          <w:p>
            <w:r>
              <w:rPr>
                <w:sz w:val="18"/>
              </w:rPr>
              <w:t>500 (65.1%) [0]</w:t>
            </w:r>
          </w:p>
        </w:tc>
      </w:tr>
    </w:tbl>
    <w:p>
      <w:pPr>
        <w:spacing w:after="80" w:line="276" w:lineRule="auto"/>
      </w:pPr>
      <w:r>
        <w:rPr>
          <w:rFonts w:ascii="Times New Roman" w:hAnsi="Times New Roman"/>
          <w:sz w:val="21"/>
        </w:rPr>
        <w:t>*Note: Zero values in Pregnancies represent nulliparous women (biologically valid). Zeros in Glucose, BloodPressure, SkinThickness, Insulin, and BMI represent unrecorded measurements.</w:t>
      </w:r>
    </w:p>
    <w:p>
      <w:pPr>
        <w:keepNext/>
        <w:spacing w:before="280" w:after="80"/>
      </w:pPr>
      <w:r>
        <w:rPr>
          <w:rFonts w:ascii="Times New Roman" w:hAnsi="Times New Roman"/>
          <w:b/>
          <w:color w:val="0F172A"/>
          <w:sz w:val="28"/>
        </w:rPr>
        <w:t>3 Exploratory Data Analysis</w:t>
      </w:r>
    </w:p>
    <w:p>
      <w:pPr>
        <w:keepNext/>
        <w:spacing w:before="200" w:after="60"/>
      </w:pPr>
      <w:r>
        <w:rPr>
          <w:rFonts w:ascii="Times New Roman" w:hAnsi="Times New Roman"/>
          <w:b/>
          <w:color w:val="0284C7"/>
          <w:sz w:val="24"/>
        </w:rPr>
        <w:t>3.1 Dataset Structure</w:t>
      </w:r>
    </w:p>
    <w:p>
      <w:pPr>
        <w:spacing w:after="80" w:line="276" w:lineRule="auto"/>
      </w:pPr>
      <w:r>
        <w:rPr>
          <w:rFonts w:ascii="Times New Roman" w:hAnsi="Times New Roman"/>
          <w:sz w:val="21"/>
        </w:rPr>
        <w:t>The dataset contains 768 rows and 9 columns with zero explicit SQL NULL values, but extensive hidden biological zero values.</w:t>
      </w:r>
    </w:p>
    <w:p>
      <w:pPr>
        <w:keepNext/>
        <w:spacing w:before="200" w:after="60"/>
      </w:pPr>
      <w:r>
        <w:rPr>
          <w:rFonts w:ascii="Times New Roman" w:hAnsi="Times New Roman"/>
          <w:b/>
          <w:color w:val="0284C7"/>
          <w:sz w:val="24"/>
        </w:rPr>
        <w:t>3.2 Descriptive Statistics</w:t>
      </w:r>
    </w:p>
    <w:p>
      <w:pPr>
        <w:spacing w:after="80" w:line="276" w:lineRule="auto"/>
      </w:pPr>
      <w:r>
        <w:rPr>
          <w:rFonts w:ascii="Times New Roman" w:hAnsi="Times New Roman"/>
          <w:sz w:val="21"/>
        </w:rPr>
        <w:t>Continuous physiological attributes exhibit pronounced variance. Insulin ranges from 0 to 846 μU/mL with a high standard deviation (115.24 μU/mL). Mean BMI is 31.99 kg/m^2, indicating that the patient cohort predominantly falls into the WHO Obese Class I category.</w:t>
      </w:r>
    </w:p>
    <w:p>
      <w:pPr>
        <w:keepNext/>
        <w:spacing w:before="200" w:after="60"/>
      </w:pPr>
      <w:r>
        <w:rPr>
          <w:rFonts w:ascii="Times New Roman" w:hAnsi="Times New Roman"/>
          <w:b/>
          <w:color w:val="0284C7"/>
          <w:sz w:val="24"/>
        </w:rPr>
        <w:t>3.3 Missing Value Analysis</w:t>
      </w:r>
    </w:p>
    <w:p>
      <w:pPr>
        <w:spacing w:after="80" w:line="276" w:lineRule="auto"/>
      </w:pPr>
      <w:r>
        <w:rPr>
          <w:rFonts w:ascii="Times New Roman" w:hAnsi="Times New Roman"/>
          <w:sz w:val="21"/>
        </w:rPr>
        <w:t>A biological sanity audit revealed that 374 records (48.70%) have Insulin = 0, 227 records (29.56%) have SkinThickness = 0, 35 records (4.56%) have BloodPressure = 0, 11 records (1.43%) have BMI = 0, and 5 records (0.65%) have Glucose = 0. A living human cannot have zero blood glucose or zero blood pressure; these are missing data artifacts requiring imputation.</w:t>
      </w:r>
    </w:p>
    <w:p>
      <w:pPr>
        <w:keepNext/>
        <w:spacing w:before="200" w:after="60"/>
      </w:pPr>
      <w:r>
        <w:rPr>
          <w:rFonts w:ascii="Times New Roman" w:hAnsi="Times New Roman"/>
          <w:b/>
          <w:color w:val="0284C7"/>
          <w:sz w:val="24"/>
        </w:rPr>
        <w:t>3.4 Class Distribution</w:t>
      </w:r>
    </w:p>
    <w:p>
      <w:pPr>
        <w:spacing w:after="80" w:line="276" w:lineRule="auto"/>
      </w:pPr>
      <w:r>
        <w:rPr>
          <w:rFonts w:ascii="Times New Roman" w:hAnsi="Times New Roman"/>
          <w:sz w:val="21"/>
        </w:rPr>
        <w:t>The target variable consists of 500 negative instances (Class 0, 65.10%) and 268 positive instances (Class 1, 34.90%). The moderate class imbalance ratio (~1.87 : 1) necessitates evaluation via Precision, Recall, and ROC-AUC in addition to raw Accuracy.</w:t>
      </w:r>
    </w:p>
    <w:p>
      <w:pPr>
        <w:keepNext/>
        <w:spacing w:before="200" w:after="60"/>
      </w:pPr>
      <w:r>
        <w:rPr>
          <w:rFonts w:ascii="Times New Roman" w:hAnsi="Times New Roman"/>
          <w:b/>
          <w:color w:val="0284C7"/>
          <w:sz w:val="24"/>
        </w:rPr>
        <w:t>3.5 Univariate Analysis</w:t>
      </w:r>
    </w:p>
    <w:p>
      <w:pPr>
        <w:spacing w:after="80" w:line="276" w:lineRule="auto"/>
      </w:pPr>
      <w:r>
        <w:rPr>
          <w:rFonts w:ascii="Times New Roman" w:hAnsi="Times New Roman"/>
          <w:sz w:val="21"/>
        </w:rPr>
        <w:t>Insulin (skewness = 2.27) and DiabetesPedigreeFunction (skewness = 1.92) show severe positive right-skewness. Glucose and Blood Pressure approximate normal distributions once zero artifacts are removed.</w:t>
      </w:r>
    </w:p>
    <w:p>
      <w:pPr>
        <w:keepNext/>
        <w:spacing w:before="200" w:after="60"/>
      </w:pPr>
      <w:r>
        <w:rPr>
          <w:rFonts w:ascii="Times New Roman" w:hAnsi="Times New Roman"/>
          <w:b/>
          <w:color w:val="0284C7"/>
          <w:sz w:val="24"/>
        </w:rPr>
        <w:t>3.6 Bivariate Analysis</w:t>
      </w:r>
    </w:p>
    <w:p>
      <w:pPr>
        <w:spacing w:after="80" w:line="276" w:lineRule="auto"/>
      </w:pPr>
      <w:r>
        <w:rPr>
          <w:rFonts w:ascii="Times New Roman" w:hAnsi="Times New Roman"/>
          <w:sz w:val="21"/>
        </w:rPr>
        <w:t>Bivariate boxplot analysis demonstrates that diabetic patients exhibit statistically significant higher median glucose (140 vs 107 mg/dL), higher BMI (34.3 vs 30.1 kg/m^2), and older median age (36 vs 27 years).</w:t>
      </w:r>
    </w:p>
    <w:p>
      <w:pPr>
        <w:keepNext/>
        <w:spacing w:before="200" w:after="60"/>
      </w:pPr>
      <w:r>
        <w:rPr>
          <w:rFonts w:ascii="Times New Roman" w:hAnsi="Times New Roman"/>
          <w:b/>
          <w:color w:val="0284C7"/>
          <w:sz w:val="24"/>
        </w:rPr>
        <w:t>3.7 Correlation Analysis</w:t>
      </w:r>
    </w:p>
    <w:p>
      <w:pPr>
        <w:spacing w:after="80" w:line="276" w:lineRule="auto"/>
      </w:pPr>
      <w:r>
        <w:rPr>
          <w:rFonts w:ascii="Times New Roman" w:hAnsi="Times New Roman"/>
          <w:sz w:val="21"/>
        </w:rPr>
        <w:t>Glucose exhibits the strongest linear correlation with diabetes outcome (r = 0.49), followed by BMI (r = 0.31), Age (r = 0.24), and Insulin (r = 0.21). Notable pairwise collinearity exists between Age and Pregnancies (r = 0.54) and SkinThickness and BMI (r = 0.65).</w:t>
      </w:r>
    </w:p>
    <w:p>
      <w:pPr>
        <w:keepNext/>
        <w:spacing w:before="200" w:after="60"/>
      </w:pPr>
      <w:r>
        <w:rPr>
          <w:rFonts w:ascii="Times New Roman" w:hAnsi="Times New Roman"/>
          <w:b/>
          <w:color w:val="0284C7"/>
          <w:sz w:val="24"/>
        </w:rPr>
        <w:t>3.8 Outlier Analysis</w:t>
      </w:r>
    </w:p>
    <w:p>
      <w:pPr>
        <w:spacing w:after="80" w:line="276" w:lineRule="auto"/>
      </w:pPr>
      <w:r>
        <w:rPr>
          <w:rFonts w:ascii="Times New Roman" w:hAnsi="Times New Roman"/>
          <w:sz w:val="21"/>
        </w:rPr>
        <w:t>Interquartile Range (IQR) analysis identified physiological extremes (e.g., Insulin &gt; 400 μU/mL, BMI &gt; 50 kg/m^2). These were retained because extreme values represent genuine severe metabolic dysregulation rather than measurement errors.</w:t>
      </w:r>
    </w:p>
    <w:p>
      <w:pPr>
        <w:keepNext/>
        <w:spacing w:before="280" w:after="80"/>
      </w:pPr>
      <w:r>
        <w:rPr>
          <w:rFonts w:ascii="Times New Roman" w:hAnsi="Times New Roman"/>
          <w:b/>
          <w:color w:val="0F172A"/>
          <w:sz w:val="28"/>
        </w:rPr>
        <w:t>4 Data Preprocessing</w:t>
      </w:r>
    </w:p>
    <w:p>
      <w:pPr>
        <w:keepNext/>
        <w:spacing w:before="200" w:after="60"/>
      </w:pPr>
      <w:r>
        <w:rPr>
          <w:rFonts w:ascii="Times New Roman" w:hAnsi="Times New Roman"/>
          <w:b/>
          <w:color w:val="0284C7"/>
          <w:sz w:val="24"/>
        </w:rPr>
        <w:t>4.1 Data Cleaning</w:t>
      </w:r>
    </w:p>
    <w:p>
      <w:pPr>
        <w:spacing w:after="80" w:line="276" w:lineRule="auto"/>
      </w:pPr>
      <w:r>
        <w:rPr>
          <w:rFonts w:ascii="Times New Roman" w:hAnsi="Times New Roman"/>
          <w:sz w:val="21"/>
        </w:rPr>
        <w:t>Non-numeric entries and formatting anomalies were verified; column schemas were standardized to float64/int64.</w:t>
      </w:r>
    </w:p>
    <w:p>
      <w:pPr>
        <w:keepNext/>
        <w:spacing w:before="200" w:after="60"/>
      </w:pPr>
      <w:r>
        <w:rPr>
          <w:rFonts w:ascii="Times New Roman" w:hAnsi="Times New Roman"/>
          <w:b/>
          <w:color w:val="0284C7"/>
          <w:sz w:val="24"/>
        </w:rPr>
        <w:t>4.2 Missing Value Handling</w:t>
      </w:r>
    </w:p>
    <w:p>
      <w:pPr>
        <w:spacing w:after="80" w:line="276" w:lineRule="auto"/>
      </w:pPr>
      <w:r>
        <w:rPr>
          <w:rFonts w:ascii="Times New Roman" w:hAnsi="Times New Roman"/>
          <w:sz w:val="21"/>
        </w:rPr>
        <w:t>Zeros in continuous variables (Glucose, BloodPressure, SkinThickness, Insulin, BMI) were replaced with NaN. To strictly eliminate data leakage, median imputation statistics were fitted solely on the training partition (N = 537): Glucose = 117.0 mg/dL, BloodPressure = 72.0 mm Hg, SkinThickness = 29.0 mm, Insulin = 125.0 μU/mL, BMI = 32.0 kg/m^2.</w:t>
      </w:r>
    </w:p>
    <w:p>
      <w:pPr>
        <w:keepNext/>
        <w:spacing w:before="200" w:after="60"/>
      </w:pPr>
      <w:r>
        <w:rPr>
          <w:rFonts w:ascii="Times New Roman" w:hAnsi="Times New Roman"/>
          <w:b/>
          <w:color w:val="0284C7"/>
          <w:sz w:val="24"/>
        </w:rPr>
        <w:t>4.3 Outlier Handling</w:t>
      </w:r>
    </w:p>
    <w:p>
      <w:pPr>
        <w:spacing w:after="80" w:line="276" w:lineRule="auto"/>
      </w:pPr>
      <w:r>
        <w:rPr>
          <w:rFonts w:ascii="Times New Roman" w:hAnsi="Times New Roman"/>
          <w:sz w:val="21"/>
        </w:rPr>
        <w:t>Non-linear log1p transformations were applied to skewed variables (Insulin, DPF) to stabilize numerical gradients without truncating data.</w:t>
      </w:r>
    </w:p>
    <w:p>
      <w:pPr>
        <w:keepNext/>
        <w:spacing w:before="200" w:after="60"/>
      </w:pPr>
      <w:r>
        <w:rPr>
          <w:rFonts w:ascii="Times New Roman" w:hAnsi="Times New Roman"/>
          <w:b/>
          <w:color w:val="0284C7"/>
          <w:sz w:val="24"/>
        </w:rPr>
        <w:t>4.4 Feature Engineering</w:t>
      </w:r>
    </w:p>
    <w:p>
      <w:pPr>
        <w:spacing w:after="80" w:line="276" w:lineRule="auto"/>
      </w:pPr>
      <w:r>
        <w:rPr>
          <w:rFonts w:ascii="Times New Roman" w:hAnsi="Times New Roman"/>
          <w:sz w:val="21"/>
        </w:rPr>
        <w:t>16 domain features were engineered from imputed measurements, expanding the feature space from 8 to 24 dimensions:</w:t>
      </w:r>
    </w:p>
    <w:p>
      <w:pPr>
        <w:spacing w:after="40"/>
        <w:ind w:left="360"/>
      </w:pPr>
      <w:r>
        <w:t>1. WHO Adiposity Bins (4 binary indicators): BMI_Underweight, BMI_Normal, BMI_Overweight, BMI_Obese.</w:t>
      </w:r>
    </w:p>
    <w:p>
      <w:pPr>
        <w:spacing w:after="40"/>
        <w:ind w:left="360"/>
      </w:pPr>
      <w:r>
        <w:t>2. ADA Glycemic Stages (3 binary indicators): Glucose_Normal (&lt;100), Glucose_Prediabetes (100-125), Glucose_Diabetes (&gt;=126 mg/dL).</w:t>
      </w:r>
    </w:p>
    <w:p>
      <w:pPr>
        <w:spacing w:after="40"/>
        <w:ind w:left="360"/>
      </w:pPr>
      <w:r>
        <w:t>3. Age Cohorts (3 binary indicators): Age_Young (&lt;30), Age_Middle (30-50), Age_Senior (&gt;50 years).</w:t>
      </w:r>
    </w:p>
    <w:p>
      <w:pPr>
        <w:spacing w:after="40"/>
        <w:ind w:left="360"/>
      </w:pPr>
      <w:r>
        <w:t>4. Insulin_Glucose_Ratio: Insulin / (Glucose + 1e-5) — proxy for beta-cell compensation.</w:t>
      </w:r>
    </w:p>
    <w:p>
      <w:pPr>
        <w:spacing w:after="40"/>
        <w:ind w:left="360"/>
      </w:pPr>
      <w:r>
        <w:t>5. Insulin_Resistance_Proxy: (Glucose * Insulin) / 405.0 — surrogate for systemic insulin resistance.</w:t>
      </w:r>
    </w:p>
    <w:p>
      <w:pPr>
        <w:spacing w:after="40"/>
        <w:ind w:left="360"/>
      </w:pPr>
      <w:r>
        <w:t>6. Pregnancy_Age_Risk: Pregnancies / (Age + 1e-5) — normalizes parity against chronological age.</w:t>
      </w:r>
    </w:p>
    <w:p>
      <w:pPr>
        <w:spacing w:after="40"/>
        <w:ind w:left="360"/>
      </w:pPr>
      <w:r>
        <w:t>7. BMI_Age_Interaction: BMI * Age — captures synergistic metabolic risk amplification.</w:t>
      </w:r>
    </w:p>
    <w:p>
      <w:pPr>
        <w:spacing w:after="40"/>
        <w:ind w:left="360"/>
      </w:pPr>
      <w:r>
        <w:t>8. Log Transforms: Log_Insulin = ln(1 + Insulin) and Log_DPF = ln(1 + DPF) to compress tail distributions.</w:t>
      </w:r>
    </w:p>
    <w:p>
      <w:pPr>
        <w:keepNext/>
        <w:spacing w:before="200" w:after="60"/>
      </w:pPr>
      <w:r>
        <w:rPr>
          <w:rFonts w:ascii="Times New Roman" w:hAnsi="Times New Roman"/>
          <w:b/>
          <w:color w:val="0284C7"/>
          <w:sz w:val="24"/>
        </w:rPr>
        <w:t>4.5 Feature Selection</w:t>
      </w:r>
    </w:p>
    <w:p>
      <w:pPr>
        <w:spacing w:after="80" w:line="276" w:lineRule="auto"/>
      </w:pPr>
      <w:r>
        <w:rPr>
          <w:rFonts w:ascii="Times New Roman" w:hAnsi="Times New Roman"/>
          <w:sz w:val="21"/>
        </w:rPr>
        <w:t>All 24 features were retained to allow the Multilayer Perceptron to autonomously learn non-linear weight representations across linear, categorical, and interaction features.</w:t>
      </w:r>
    </w:p>
    <w:p>
      <w:pPr>
        <w:keepNext/>
        <w:spacing w:before="200" w:after="60"/>
      </w:pPr>
      <w:r>
        <w:rPr>
          <w:rFonts w:ascii="Times New Roman" w:hAnsi="Times New Roman"/>
          <w:b/>
          <w:color w:val="0284C7"/>
          <w:sz w:val="24"/>
        </w:rPr>
        <w:t>4.6 Train-Test Split</w:t>
      </w:r>
    </w:p>
    <w:p>
      <w:pPr>
        <w:spacing w:after="80" w:line="276" w:lineRule="auto"/>
      </w:pPr>
      <w:r>
        <w:rPr>
          <w:rFonts w:ascii="Times New Roman" w:hAnsi="Times New Roman"/>
          <w:sz w:val="21"/>
        </w:rPr>
        <w:t>The dataset was partitioned using stratified sampling: 70% Training (N = 537), 15% Validation (N = 115), and 15% Untouched Test (N = 116), ensuring identical 34.9% positive class prevalence across partitions.</w:t>
      </w:r>
    </w:p>
    <w:p>
      <w:pPr>
        <w:keepNext/>
        <w:spacing w:before="200" w:after="60"/>
      </w:pPr>
      <w:r>
        <w:rPr>
          <w:rFonts w:ascii="Times New Roman" w:hAnsi="Times New Roman"/>
          <w:b/>
          <w:color w:val="0284C7"/>
          <w:sz w:val="24"/>
        </w:rPr>
        <w:t>4.7 Feature Scaling</w:t>
      </w:r>
    </w:p>
    <w:p>
      <w:pPr>
        <w:spacing w:after="80" w:line="276" w:lineRule="auto"/>
      </w:pPr>
      <w:r>
        <w:rPr>
          <w:rFonts w:ascii="Times New Roman" w:hAnsi="Times New Roman"/>
          <w:sz w:val="21"/>
        </w:rPr>
        <w:t>StandardScaler was fitted on training data and applied to scale all 24 features to zero mean and unit variance (z = (x - μ_train) / σ_train).</w:t>
      </w:r>
    </w:p>
    <w:p>
      <w:pPr>
        <w:keepNext/>
        <w:spacing w:before="280" w:after="80"/>
      </w:pPr>
      <w:r>
        <w:rPr>
          <w:rFonts w:ascii="Times New Roman" w:hAnsi="Times New Roman"/>
          <w:b/>
          <w:color w:val="0F172A"/>
          <w:sz w:val="28"/>
        </w:rPr>
        <w:t>5 Methodology</w:t>
      </w:r>
    </w:p>
    <w:p>
      <w:pPr>
        <w:keepNext/>
        <w:spacing w:before="200" w:after="60"/>
      </w:pPr>
      <w:r>
        <w:rPr>
          <w:rFonts w:ascii="Times New Roman" w:hAnsi="Times New Roman"/>
          <w:b/>
          <w:color w:val="0284C7"/>
          <w:sz w:val="24"/>
        </w:rPr>
        <w:t>5.1 Overall Project Workflow</w:t>
      </w:r>
    </w:p>
    <w:p>
      <w:pPr>
        <w:spacing w:after="80" w:line="276" w:lineRule="auto"/>
      </w:pPr>
      <w:r>
        <w:rPr>
          <w:rFonts w:ascii="Times New Roman" w:hAnsi="Times New Roman"/>
          <w:sz w:val="21"/>
        </w:rPr>
        <w:t>The project follows a rigorous machine learning lifecycle: Data Acquisition -&gt; Zero Detection -&gt; Training-Fitted Imputation -&gt; Feature Engineering -&gt; Stratified Partitioning -&gt; Baseline Benchmarking -&gt; MLP Hyperparameter Grid Search -&gt; Final Retraining -&gt; Untouched Test Evaluation -&gt; Web Deployment.</w:t>
      </w:r>
    </w:p>
    <w:p>
      <w:pPr>
        <w:keepNext/>
        <w:spacing w:before="200" w:after="60"/>
      </w:pPr>
      <w:r>
        <w:rPr>
          <w:rFonts w:ascii="Times New Roman" w:hAnsi="Times New Roman"/>
          <w:b/>
          <w:color w:val="0284C7"/>
          <w:sz w:val="24"/>
        </w:rPr>
        <w:t>5.2 Model Development Strategy</w:t>
      </w:r>
    </w:p>
    <w:p>
      <w:pPr>
        <w:spacing w:after="80" w:line="276" w:lineRule="auto"/>
      </w:pPr>
      <w:r>
        <w:rPr>
          <w:rFonts w:ascii="Times New Roman" w:hAnsi="Times New Roman"/>
          <w:sz w:val="21"/>
        </w:rPr>
        <w:t>Establish empirical baselines across multiple algorithmic families (linear, instance-based, margin-based, decision tree, tree ensemble) before optimizing the Multilayer Perceptron.</w:t>
      </w:r>
    </w:p>
    <w:p>
      <w:pPr>
        <w:keepNext/>
        <w:spacing w:before="200" w:after="60"/>
      </w:pPr>
      <w:r>
        <w:rPr>
          <w:rFonts w:ascii="Times New Roman" w:hAnsi="Times New Roman"/>
          <w:b/>
          <w:color w:val="0284C7"/>
          <w:sz w:val="24"/>
        </w:rPr>
        <w:t>5.3 Baseline Models</w:t>
      </w:r>
    </w:p>
    <w:p>
      <w:pPr>
        <w:spacing w:after="80" w:line="276" w:lineRule="auto"/>
      </w:pPr>
      <w:r>
        <w:rPr>
          <w:rFonts w:ascii="Times New Roman" w:hAnsi="Times New Roman"/>
          <w:sz w:val="21"/>
        </w:rPr>
        <w:t>Six standard classifiers were trained under identical leak-free preprocessing: Logistic Regression, K-Nearest Neighbors, Support Vector Machine (RBF), Decision Tree (CART), Random Forest (100 trees), and Gradient Boosting.</w:t>
      </w:r>
    </w:p>
    <w:p>
      <w:pPr>
        <w:keepNext/>
        <w:spacing w:before="200" w:after="60"/>
      </w:pPr>
      <w:r>
        <w:rPr>
          <w:rFonts w:ascii="Times New Roman" w:hAnsi="Times New Roman"/>
          <w:b/>
          <w:color w:val="0284C7"/>
          <w:sz w:val="24"/>
        </w:rPr>
        <w:t>5.4 Multilayer Perceptron Architecture</w:t>
      </w:r>
    </w:p>
    <w:p>
      <w:pPr>
        <w:spacing w:after="80" w:line="276" w:lineRule="auto"/>
      </w:pPr>
      <w:r>
        <w:rPr>
          <w:rFonts w:ascii="Times New Roman" w:hAnsi="Times New Roman"/>
          <w:sz w:val="21"/>
        </w:rPr>
        <w:t>A feed-forward artificial neural network with an input layer of 24 neurons, two hidden layers (64 neurons and 32 neurons) equipped with ReLU activation functions, and a single sigmoid output neuron: z1 = W1*x + b1, a1 = ReLU(z1); z2 = W2*a1 + b2, a2 = ReLU(z2); z3 = W3*a2 + b3, y_hat = Sigmoid(z3).</w:t>
      </w:r>
    </w:p>
    <w:p>
      <w:pPr>
        <w:keepNext/>
        <w:spacing w:before="280" w:after="80"/>
      </w:pPr>
      <w:r>
        <w:rPr>
          <w:rFonts w:ascii="Times New Roman" w:hAnsi="Times New Roman"/>
          <w:b/>
          <w:color w:val="0F172A"/>
          <w:sz w:val="28"/>
        </w:rPr>
        <w:t>6 Model Development</w:t>
      </w:r>
    </w:p>
    <w:p>
      <w:pPr>
        <w:spacing w:after="80" w:line="276" w:lineRule="auto"/>
      </w:pPr>
      <w:r>
        <w:rPr>
          <w:rFonts w:ascii="Times New Roman" w:hAnsi="Times New Roman"/>
          <w:sz w:val="21"/>
        </w:rPr>
        <w:t>Each model family was instantiated with consistent random seeds (seed = 42):</w:t>
        <w:br/>
        <w:t>• 6.1 Logistic Regression: L2-regularized logistic regression with L-BFGS solver.</w:t>
        <w:br/>
        <w:t>• 6.2 K-Nearest Neighbors: Euclidean distance metric with k = 7 neighbors.</w:t>
        <w:br/>
        <w:t>• 6.3 Support Vector Machine: Radial Basis Function (RBF) kernel with C = 1.0 and gamma = 'scale'.</w:t>
        <w:br/>
        <w:t>• 6.4 Random Forest: 100 ensemble estimators with max_depth = 8 and Gini impurity criterion.</w:t>
        <w:br/>
        <w:t>• 6.5 Multilayer Perceptron: Scikit-Learn MLPClassifier with Adam optimizer, batch size 32, alpha = 0.001, early stopping with 10 epochs patience.</w:t>
      </w:r>
    </w:p>
    <w:p>
      <w:pPr>
        <w:keepNext/>
        <w:spacing w:before="280" w:after="80"/>
      </w:pPr>
      <w:r>
        <w:rPr>
          <w:rFonts w:ascii="Times New Roman" w:hAnsi="Times New Roman"/>
          <w:b/>
          <w:color w:val="0F172A"/>
          <w:sz w:val="28"/>
        </w:rPr>
        <w:t>7 Model Evaluation &amp; Benchmark Results</w:t>
      </w:r>
    </w:p>
    <w:p>
      <w:pPr>
        <w:spacing w:after="80" w:line="276" w:lineRule="auto"/>
      </w:pPr>
      <w:r>
        <w:rPr>
          <w:rFonts w:ascii="Times New Roman" w:hAnsi="Times New Roman"/>
          <w:sz w:val="21"/>
        </w:rPr>
        <w:t>All models were evaluated on the untouched test partition (N = 116, 76 Negative, 40 Positive cases). Standard metrics were computed: Accuracy = (TP + TN) / N, Precision = TP / (TP + FP), Recall = TP / (TP + FN), Specificity = TN / (TN + FP), F1-Score = 2 * (Precision * Recall) / (Precision + Recall), and ROC-AUC.</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0F172A"/>
            <w:tcMar>
              <w:top w:w="80" w:type="dxa"/>
              <w:bottom w:w="80" w:type="dxa"/>
              <w:left w:w="100" w:type="dxa"/>
              <w:right w:w="100" w:type="dxa"/>
            </w:tcMar>
          </w:tcPr>
          <w:p>
            <w:r>
              <w:rPr>
                <w:b/>
                <w:color w:val="FFFFFF"/>
                <w:sz w:val="17"/>
              </w:rPr>
              <w:t>Algorithm</w:t>
            </w:r>
          </w:p>
        </w:tc>
        <w:tc>
          <w:tcPr>
            <w:tcW w:type="dxa" w:w="1040"/>
            <w:shd w:fill="0F172A"/>
            <w:tcMar>
              <w:top w:w="80" w:type="dxa"/>
              <w:bottom w:w="80" w:type="dxa"/>
              <w:left w:w="100" w:type="dxa"/>
              <w:right w:w="100" w:type="dxa"/>
            </w:tcMar>
          </w:tcPr>
          <w:p>
            <w:r>
              <w:rPr>
                <w:b/>
                <w:color w:val="FFFFFF"/>
                <w:sz w:val="17"/>
              </w:rPr>
              <w:t>Accuracy</w:t>
            </w:r>
          </w:p>
        </w:tc>
        <w:tc>
          <w:tcPr>
            <w:tcW w:type="dxa" w:w="1040"/>
            <w:shd w:fill="0F172A"/>
            <w:tcMar>
              <w:top w:w="80" w:type="dxa"/>
              <w:bottom w:w="80" w:type="dxa"/>
              <w:left w:w="100" w:type="dxa"/>
              <w:right w:w="100" w:type="dxa"/>
            </w:tcMar>
          </w:tcPr>
          <w:p>
            <w:r>
              <w:rPr>
                <w:b/>
                <w:color w:val="FFFFFF"/>
                <w:sz w:val="17"/>
              </w:rPr>
              <w:t>Sensitivity</w:t>
            </w:r>
          </w:p>
        </w:tc>
        <w:tc>
          <w:tcPr>
            <w:tcW w:type="dxa" w:w="1040"/>
            <w:shd w:fill="0F172A"/>
            <w:tcMar>
              <w:top w:w="80" w:type="dxa"/>
              <w:bottom w:w="80" w:type="dxa"/>
              <w:left w:w="100" w:type="dxa"/>
              <w:right w:w="100" w:type="dxa"/>
            </w:tcMar>
          </w:tcPr>
          <w:p>
            <w:r>
              <w:rPr>
                <w:b/>
                <w:color w:val="FFFFFF"/>
                <w:sz w:val="17"/>
              </w:rPr>
              <w:t>Specificity</w:t>
            </w:r>
          </w:p>
        </w:tc>
        <w:tc>
          <w:tcPr>
            <w:tcW w:type="dxa" w:w="1040"/>
            <w:shd w:fill="0F172A"/>
            <w:tcMar>
              <w:top w:w="80" w:type="dxa"/>
              <w:bottom w:w="80" w:type="dxa"/>
              <w:left w:w="100" w:type="dxa"/>
              <w:right w:w="100" w:type="dxa"/>
            </w:tcMar>
          </w:tcPr>
          <w:p>
            <w:r>
              <w:rPr>
                <w:b/>
                <w:color w:val="FFFFFF"/>
                <w:sz w:val="17"/>
              </w:rPr>
              <w:t>Precision</w:t>
            </w:r>
          </w:p>
        </w:tc>
        <w:tc>
          <w:tcPr>
            <w:tcW w:type="dxa" w:w="1040"/>
            <w:shd w:fill="0F172A"/>
            <w:tcMar>
              <w:top w:w="80" w:type="dxa"/>
              <w:bottom w:w="80" w:type="dxa"/>
              <w:left w:w="100" w:type="dxa"/>
              <w:right w:w="100" w:type="dxa"/>
            </w:tcMar>
          </w:tcPr>
          <w:p>
            <w:r>
              <w:rPr>
                <w:b/>
                <w:color w:val="FFFFFF"/>
                <w:sz w:val="17"/>
              </w:rPr>
              <w:t>F1</w:t>
            </w:r>
          </w:p>
        </w:tc>
        <w:tc>
          <w:tcPr>
            <w:tcW w:type="dxa" w:w="1040"/>
            <w:shd w:fill="0F172A"/>
            <w:tcMar>
              <w:top w:w="80" w:type="dxa"/>
              <w:bottom w:w="80" w:type="dxa"/>
              <w:left w:w="100" w:type="dxa"/>
              <w:right w:w="100" w:type="dxa"/>
            </w:tcMar>
          </w:tcPr>
          <w:p>
            <w:r>
              <w:rPr>
                <w:b/>
                <w:color w:val="FFFFFF"/>
                <w:sz w:val="17"/>
              </w:rPr>
              <w:t>ROC-AUC</w:t>
            </w:r>
          </w:p>
        </w:tc>
        <w:tc>
          <w:tcPr>
            <w:tcW w:type="dxa" w:w="1040"/>
            <w:shd w:fill="0F172A"/>
            <w:tcMar>
              <w:top w:w="80" w:type="dxa"/>
              <w:bottom w:w="80" w:type="dxa"/>
              <w:left w:w="100" w:type="dxa"/>
              <w:right w:w="100" w:type="dxa"/>
            </w:tcMar>
          </w:tcPr>
          <w:p>
            <w:r>
              <w:rPr>
                <w:b/>
                <w:color w:val="FFFFFF"/>
                <w:sz w:val="17"/>
              </w:rPr>
              <w:t>FN</w:t>
            </w:r>
          </w:p>
        </w:tc>
        <w:tc>
          <w:tcPr>
            <w:tcW w:type="dxa" w:w="1040"/>
            <w:shd w:fill="0F172A"/>
            <w:tcMar>
              <w:top w:w="80" w:type="dxa"/>
              <w:bottom w:w="80" w:type="dxa"/>
              <w:left w:w="100" w:type="dxa"/>
              <w:right w:w="100" w:type="dxa"/>
            </w:tcMar>
          </w:tcPr>
          <w:p>
            <w:r>
              <w:rPr>
                <w:b/>
                <w:color w:val="FFFFFF"/>
                <w:sz w:val="17"/>
              </w:rPr>
              <w:t>FP</w:t>
            </w:r>
          </w:p>
        </w:tc>
      </w:tr>
      <w:tr>
        <w:tc>
          <w:tcPr>
            <w:tcW w:type="dxa" w:w="1040"/>
            <w:tcMar>
              <w:top w:w="60" w:type="dxa"/>
              <w:bottom w:w="60" w:type="dxa"/>
              <w:left w:w="100" w:type="dxa"/>
              <w:right w:w="100" w:type="dxa"/>
            </w:tcMar>
          </w:tcPr>
          <w:p>
            <w:r>
              <w:rPr>
                <w:sz w:val="16"/>
              </w:rPr>
              <w:t>Logistic Regression</w:t>
            </w:r>
          </w:p>
        </w:tc>
        <w:tc>
          <w:tcPr>
            <w:tcW w:type="dxa" w:w="1040"/>
            <w:tcMar>
              <w:top w:w="60" w:type="dxa"/>
              <w:bottom w:w="60" w:type="dxa"/>
              <w:left w:w="100" w:type="dxa"/>
              <w:right w:w="100" w:type="dxa"/>
            </w:tcMar>
          </w:tcPr>
          <w:p>
            <w:r>
              <w:rPr>
                <w:sz w:val="16"/>
              </w:rPr>
              <w:t>79.31%</w:t>
            </w:r>
          </w:p>
        </w:tc>
        <w:tc>
          <w:tcPr>
            <w:tcW w:type="dxa" w:w="1040"/>
            <w:tcMar>
              <w:top w:w="60" w:type="dxa"/>
              <w:bottom w:w="60" w:type="dxa"/>
              <w:left w:w="100" w:type="dxa"/>
              <w:right w:w="100" w:type="dxa"/>
            </w:tcMar>
          </w:tcPr>
          <w:p>
            <w:r>
              <w:rPr>
                <w:sz w:val="16"/>
              </w:rPr>
              <w:t>72.50%</w:t>
            </w:r>
          </w:p>
        </w:tc>
        <w:tc>
          <w:tcPr>
            <w:tcW w:type="dxa" w:w="1040"/>
            <w:tcMar>
              <w:top w:w="60" w:type="dxa"/>
              <w:bottom w:w="60" w:type="dxa"/>
              <w:left w:w="100" w:type="dxa"/>
              <w:right w:w="100" w:type="dxa"/>
            </w:tcMar>
          </w:tcPr>
          <w:p>
            <w:r>
              <w:rPr>
                <w:sz w:val="16"/>
              </w:rPr>
              <w:t>82.89%</w:t>
            </w:r>
          </w:p>
        </w:tc>
        <w:tc>
          <w:tcPr>
            <w:tcW w:type="dxa" w:w="1040"/>
            <w:tcMar>
              <w:top w:w="60" w:type="dxa"/>
              <w:bottom w:w="60" w:type="dxa"/>
              <w:left w:w="100" w:type="dxa"/>
              <w:right w:w="100" w:type="dxa"/>
            </w:tcMar>
          </w:tcPr>
          <w:p>
            <w:r>
              <w:rPr>
                <w:sz w:val="16"/>
              </w:rPr>
              <w:t>0.6905</w:t>
            </w:r>
          </w:p>
        </w:tc>
        <w:tc>
          <w:tcPr>
            <w:tcW w:type="dxa" w:w="1040"/>
            <w:tcMar>
              <w:top w:w="60" w:type="dxa"/>
              <w:bottom w:w="60" w:type="dxa"/>
              <w:left w:w="100" w:type="dxa"/>
              <w:right w:w="100" w:type="dxa"/>
            </w:tcMar>
          </w:tcPr>
          <w:p>
            <w:r>
              <w:rPr>
                <w:sz w:val="16"/>
              </w:rPr>
              <w:t>0.7073</w:t>
            </w:r>
          </w:p>
        </w:tc>
        <w:tc>
          <w:tcPr>
            <w:tcW w:type="dxa" w:w="1040"/>
            <w:tcMar>
              <w:top w:w="60" w:type="dxa"/>
              <w:bottom w:w="60" w:type="dxa"/>
              <w:left w:w="100" w:type="dxa"/>
              <w:right w:w="100" w:type="dxa"/>
            </w:tcMar>
          </w:tcPr>
          <w:p>
            <w:r>
              <w:rPr>
                <w:sz w:val="16"/>
              </w:rPr>
              <w:t>0.8444</w:t>
            </w:r>
          </w:p>
        </w:tc>
        <w:tc>
          <w:tcPr>
            <w:tcW w:type="dxa" w:w="1040"/>
            <w:tcMar>
              <w:top w:w="60" w:type="dxa"/>
              <w:bottom w:w="60" w:type="dxa"/>
              <w:left w:w="100" w:type="dxa"/>
              <w:right w:w="100" w:type="dxa"/>
            </w:tcMar>
          </w:tcPr>
          <w:p>
            <w:r>
              <w:rPr>
                <w:sz w:val="16"/>
              </w:rPr>
              <w:t>11</w:t>
            </w:r>
          </w:p>
        </w:tc>
        <w:tc>
          <w:tcPr>
            <w:tcW w:type="dxa" w:w="1040"/>
            <w:tcMar>
              <w:top w:w="60" w:type="dxa"/>
              <w:bottom w:w="60" w:type="dxa"/>
              <w:left w:w="100" w:type="dxa"/>
              <w:right w:w="100" w:type="dxa"/>
            </w:tcMar>
          </w:tcPr>
          <w:p>
            <w:r>
              <w:rPr>
                <w:sz w:val="16"/>
              </w:rPr>
              <w:t>13</w:t>
            </w:r>
          </w:p>
        </w:tc>
      </w:tr>
      <w:tr>
        <w:tc>
          <w:tcPr>
            <w:tcW w:type="dxa" w:w="1040"/>
            <w:tcMar>
              <w:top w:w="60" w:type="dxa"/>
              <w:bottom w:w="60" w:type="dxa"/>
              <w:left w:w="100" w:type="dxa"/>
              <w:right w:w="100" w:type="dxa"/>
            </w:tcMar>
          </w:tcPr>
          <w:p>
            <w:r>
              <w:rPr>
                <w:sz w:val="16"/>
              </w:rPr>
              <w:t>K-Nearest Neighbors</w:t>
            </w:r>
          </w:p>
        </w:tc>
        <w:tc>
          <w:tcPr>
            <w:tcW w:type="dxa" w:w="1040"/>
            <w:tcMar>
              <w:top w:w="60" w:type="dxa"/>
              <w:bottom w:w="60" w:type="dxa"/>
              <w:left w:w="100" w:type="dxa"/>
              <w:right w:w="100" w:type="dxa"/>
            </w:tcMar>
          </w:tcPr>
          <w:p>
            <w:r>
              <w:rPr>
                <w:sz w:val="16"/>
              </w:rPr>
              <w:t>81.90%</w:t>
            </w:r>
          </w:p>
        </w:tc>
        <w:tc>
          <w:tcPr>
            <w:tcW w:type="dxa" w:w="1040"/>
            <w:tcMar>
              <w:top w:w="60" w:type="dxa"/>
              <w:bottom w:w="60" w:type="dxa"/>
              <w:left w:w="100" w:type="dxa"/>
              <w:right w:w="100" w:type="dxa"/>
            </w:tcMar>
          </w:tcPr>
          <w:p>
            <w:r>
              <w:rPr>
                <w:sz w:val="16"/>
              </w:rPr>
              <w:t>77.50%</w:t>
            </w:r>
          </w:p>
        </w:tc>
        <w:tc>
          <w:tcPr>
            <w:tcW w:type="dxa" w:w="1040"/>
            <w:tcMar>
              <w:top w:w="60" w:type="dxa"/>
              <w:bottom w:w="60" w:type="dxa"/>
              <w:left w:w="100" w:type="dxa"/>
              <w:right w:w="100" w:type="dxa"/>
            </w:tcMar>
          </w:tcPr>
          <w:p>
            <w:r>
              <w:rPr>
                <w:sz w:val="16"/>
              </w:rPr>
              <w:t>84.21%</w:t>
            </w:r>
          </w:p>
        </w:tc>
        <w:tc>
          <w:tcPr>
            <w:tcW w:type="dxa" w:w="1040"/>
            <w:tcMar>
              <w:top w:w="60" w:type="dxa"/>
              <w:bottom w:w="60" w:type="dxa"/>
              <w:left w:w="100" w:type="dxa"/>
              <w:right w:w="100" w:type="dxa"/>
            </w:tcMar>
          </w:tcPr>
          <w:p>
            <w:r>
              <w:rPr>
                <w:sz w:val="16"/>
              </w:rPr>
              <w:t>0.7209</w:t>
            </w:r>
          </w:p>
        </w:tc>
        <w:tc>
          <w:tcPr>
            <w:tcW w:type="dxa" w:w="1040"/>
            <w:tcMar>
              <w:top w:w="60" w:type="dxa"/>
              <w:bottom w:w="60" w:type="dxa"/>
              <w:left w:w="100" w:type="dxa"/>
              <w:right w:w="100" w:type="dxa"/>
            </w:tcMar>
          </w:tcPr>
          <w:p>
            <w:r>
              <w:rPr>
                <w:sz w:val="16"/>
              </w:rPr>
              <w:t>0.7470</w:t>
            </w:r>
          </w:p>
        </w:tc>
        <w:tc>
          <w:tcPr>
            <w:tcW w:type="dxa" w:w="1040"/>
            <w:tcMar>
              <w:top w:w="60" w:type="dxa"/>
              <w:bottom w:w="60" w:type="dxa"/>
              <w:left w:w="100" w:type="dxa"/>
              <w:right w:w="100" w:type="dxa"/>
            </w:tcMar>
          </w:tcPr>
          <w:p>
            <w:r>
              <w:rPr>
                <w:sz w:val="16"/>
              </w:rPr>
              <w:t>0.8954</w:t>
            </w:r>
          </w:p>
        </w:tc>
        <w:tc>
          <w:tcPr>
            <w:tcW w:type="dxa" w:w="1040"/>
            <w:tcMar>
              <w:top w:w="60" w:type="dxa"/>
              <w:bottom w:w="60" w:type="dxa"/>
              <w:left w:w="100" w:type="dxa"/>
              <w:right w:w="100" w:type="dxa"/>
            </w:tcMar>
          </w:tcPr>
          <w:p>
            <w:r>
              <w:rPr>
                <w:sz w:val="16"/>
              </w:rPr>
              <w:t>9</w:t>
            </w:r>
          </w:p>
        </w:tc>
        <w:tc>
          <w:tcPr>
            <w:tcW w:type="dxa" w:w="1040"/>
            <w:tcMar>
              <w:top w:w="60" w:type="dxa"/>
              <w:bottom w:w="60" w:type="dxa"/>
              <w:left w:w="100" w:type="dxa"/>
              <w:right w:w="100" w:type="dxa"/>
            </w:tcMar>
          </w:tcPr>
          <w:p>
            <w:r>
              <w:rPr>
                <w:sz w:val="16"/>
              </w:rPr>
              <w:t>12</w:t>
            </w:r>
          </w:p>
        </w:tc>
      </w:tr>
      <w:tr>
        <w:tc>
          <w:tcPr>
            <w:tcW w:type="dxa" w:w="1040"/>
            <w:tcMar>
              <w:top w:w="60" w:type="dxa"/>
              <w:bottom w:w="60" w:type="dxa"/>
              <w:left w:w="100" w:type="dxa"/>
              <w:right w:w="100" w:type="dxa"/>
            </w:tcMar>
          </w:tcPr>
          <w:p>
            <w:r>
              <w:rPr>
                <w:sz w:val="16"/>
              </w:rPr>
              <w:t>Support Vector Machine</w:t>
            </w:r>
          </w:p>
        </w:tc>
        <w:tc>
          <w:tcPr>
            <w:tcW w:type="dxa" w:w="1040"/>
            <w:tcMar>
              <w:top w:w="60" w:type="dxa"/>
              <w:bottom w:w="60" w:type="dxa"/>
              <w:left w:w="100" w:type="dxa"/>
              <w:right w:w="100" w:type="dxa"/>
            </w:tcMar>
          </w:tcPr>
          <w:p>
            <w:r>
              <w:rPr>
                <w:sz w:val="16"/>
              </w:rPr>
              <w:t>83.62%</w:t>
            </w:r>
          </w:p>
        </w:tc>
        <w:tc>
          <w:tcPr>
            <w:tcW w:type="dxa" w:w="1040"/>
            <w:tcMar>
              <w:top w:w="60" w:type="dxa"/>
              <w:bottom w:w="60" w:type="dxa"/>
              <w:left w:w="100" w:type="dxa"/>
              <w:right w:w="100" w:type="dxa"/>
            </w:tcMar>
          </w:tcPr>
          <w:p>
            <w:r>
              <w:rPr>
                <w:sz w:val="16"/>
              </w:rPr>
              <w:t>77.50%</w:t>
            </w:r>
          </w:p>
        </w:tc>
        <w:tc>
          <w:tcPr>
            <w:tcW w:type="dxa" w:w="1040"/>
            <w:tcMar>
              <w:top w:w="60" w:type="dxa"/>
              <w:bottom w:w="60" w:type="dxa"/>
              <w:left w:w="100" w:type="dxa"/>
              <w:right w:w="100" w:type="dxa"/>
            </w:tcMar>
          </w:tcPr>
          <w:p>
            <w:r>
              <w:rPr>
                <w:sz w:val="16"/>
              </w:rPr>
              <w:t>86.84%</w:t>
            </w:r>
          </w:p>
        </w:tc>
        <w:tc>
          <w:tcPr>
            <w:tcW w:type="dxa" w:w="1040"/>
            <w:tcMar>
              <w:top w:w="60" w:type="dxa"/>
              <w:bottom w:w="60" w:type="dxa"/>
              <w:left w:w="100" w:type="dxa"/>
              <w:right w:w="100" w:type="dxa"/>
            </w:tcMar>
          </w:tcPr>
          <w:p>
            <w:r>
              <w:rPr>
                <w:sz w:val="16"/>
              </w:rPr>
              <w:t>0.7561</w:t>
            </w:r>
          </w:p>
        </w:tc>
        <w:tc>
          <w:tcPr>
            <w:tcW w:type="dxa" w:w="1040"/>
            <w:tcMar>
              <w:top w:w="60" w:type="dxa"/>
              <w:bottom w:w="60" w:type="dxa"/>
              <w:left w:w="100" w:type="dxa"/>
              <w:right w:w="100" w:type="dxa"/>
            </w:tcMar>
          </w:tcPr>
          <w:p>
            <w:r>
              <w:rPr>
                <w:sz w:val="16"/>
              </w:rPr>
              <w:t>0.7654</w:t>
            </w:r>
          </w:p>
        </w:tc>
        <w:tc>
          <w:tcPr>
            <w:tcW w:type="dxa" w:w="1040"/>
            <w:tcMar>
              <w:top w:w="60" w:type="dxa"/>
              <w:bottom w:w="60" w:type="dxa"/>
              <w:left w:w="100" w:type="dxa"/>
              <w:right w:w="100" w:type="dxa"/>
            </w:tcMar>
          </w:tcPr>
          <w:p>
            <w:r>
              <w:rPr>
                <w:sz w:val="16"/>
              </w:rPr>
              <w:t>0.8808</w:t>
            </w:r>
          </w:p>
        </w:tc>
        <w:tc>
          <w:tcPr>
            <w:tcW w:type="dxa" w:w="1040"/>
            <w:tcMar>
              <w:top w:w="60" w:type="dxa"/>
              <w:bottom w:w="60" w:type="dxa"/>
              <w:left w:w="100" w:type="dxa"/>
              <w:right w:w="100" w:type="dxa"/>
            </w:tcMar>
          </w:tcPr>
          <w:p>
            <w:r>
              <w:rPr>
                <w:sz w:val="16"/>
              </w:rPr>
              <w:t>9</w:t>
            </w:r>
          </w:p>
        </w:tc>
        <w:tc>
          <w:tcPr>
            <w:tcW w:type="dxa" w:w="1040"/>
            <w:tcMar>
              <w:top w:w="60" w:type="dxa"/>
              <w:bottom w:w="60" w:type="dxa"/>
              <w:left w:w="100" w:type="dxa"/>
              <w:right w:w="100" w:type="dxa"/>
            </w:tcMar>
          </w:tcPr>
          <w:p>
            <w:r>
              <w:rPr>
                <w:sz w:val="16"/>
              </w:rPr>
              <w:t>10</w:t>
            </w:r>
          </w:p>
        </w:tc>
      </w:tr>
      <w:tr>
        <w:tc>
          <w:tcPr>
            <w:tcW w:type="dxa" w:w="1040"/>
            <w:tcMar>
              <w:top w:w="60" w:type="dxa"/>
              <w:bottom w:w="60" w:type="dxa"/>
              <w:left w:w="100" w:type="dxa"/>
              <w:right w:w="100" w:type="dxa"/>
            </w:tcMar>
          </w:tcPr>
          <w:p>
            <w:r>
              <w:rPr>
                <w:sz w:val="16"/>
              </w:rPr>
              <w:t>Decision Tree</w:t>
            </w:r>
          </w:p>
        </w:tc>
        <w:tc>
          <w:tcPr>
            <w:tcW w:type="dxa" w:w="1040"/>
            <w:tcMar>
              <w:top w:w="60" w:type="dxa"/>
              <w:bottom w:w="60" w:type="dxa"/>
              <w:left w:w="100" w:type="dxa"/>
              <w:right w:w="100" w:type="dxa"/>
            </w:tcMar>
          </w:tcPr>
          <w:p>
            <w:r>
              <w:rPr>
                <w:sz w:val="16"/>
              </w:rPr>
              <w:t>87.93%</w:t>
            </w:r>
          </w:p>
        </w:tc>
        <w:tc>
          <w:tcPr>
            <w:tcW w:type="dxa" w:w="1040"/>
            <w:tcMar>
              <w:top w:w="60" w:type="dxa"/>
              <w:bottom w:w="60" w:type="dxa"/>
              <w:left w:w="100" w:type="dxa"/>
              <w:right w:w="100" w:type="dxa"/>
            </w:tcMar>
          </w:tcPr>
          <w:p>
            <w:r>
              <w:rPr>
                <w:sz w:val="16"/>
              </w:rPr>
              <w:t>82.50%</w:t>
            </w:r>
          </w:p>
        </w:tc>
        <w:tc>
          <w:tcPr>
            <w:tcW w:type="dxa" w:w="1040"/>
            <w:tcMar>
              <w:top w:w="60" w:type="dxa"/>
              <w:bottom w:w="60" w:type="dxa"/>
              <w:left w:w="100" w:type="dxa"/>
              <w:right w:w="100" w:type="dxa"/>
            </w:tcMar>
          </w:tcPr>
          <w:p>
            <w:r>
              <w:rPr>
                <w:sz w:val="16"/>
              </w:rPr>
              <w:t>90.79%</w:t>
            </w:r>
          </w:p>
        </w:tc>
        <w:tc>
          <w:tcPr>
            <w:tcW w:type="dxa" w:w="1040"/>
            <w:tcMar>
              <w:top w:w="60" w:type="dxa"/>
              <w:bottom w:w="60" w:type="dxa"/>
              <w:left w:w="100" w:type="dxa"/>
              <w:right w:w="100" w:type="dxa"/>
            </w:tcMar>
          </w:tcPr>
          <w:p>
            <w:r>
              <w:rPr>
                <w:sz w:val="16"/>
              </w:rPr>
              <w:t>0.8250</w:t>
            </w:r>
          </w:p>
        </w:tc>
        <w:tc>
          <w:tcPr>
            <w:tcW w:type="dxa" w:w="1040"/>
            <w:tcMar>
              <w:top w:w="60" w:type="dxa"/>
              <w:bottom w:w="60" w:type="dxa"/>
              <w:left w:w="100" w:type="dxa"/>
              <w:right w:w="100" w:type="dxa"/>
            </w:tcMar>
          </w:tcPr>
          <w:p>
            <w:r>
              <w:rPr>
                <w:sz w:val="16"/>
              </w:rPr>
              <w:t>0.8250</w:t>
            </w:r>
          </w:p>
        </w:tc>
        <w:tc>
          <w:tcPr>
            <w:tcW w:type="dxa" w:w="1040"/>
            <w:tcMar>
              <w:top w:w="60" w:type="dxa"/>
              <w:bottom w:w="60" w:type="dxa"/>
              <w:left w:w="100" w:type="dxa"/>
              <w:right w:w="100" w:type="dxa"/>
            </w:tcMar>
          </w:tcPr>
          <w:p>
            <w:r>
              <w:rPr>
                <w:sz w:val="16"/>
              </w:rPr>
              <w:t>0.9021</w:t>
            </w:r>
          </w:p>
        </w:tc>
        <w:tc>
          <w:tcPr>
            <w:tcW w:type="dxa" w:w="1040"/>
            <w:tcMar>
              <w:top w:w="60" w:type="dxa"/>
              <w:bottom w:w="60" w:type="dxa"/>
              <w:left w:w="100" w:type="dxa"/>
              <w:right w:w="100" w:type="dxa"/>
            </w:tcMar>
          </w:tcPr>
          <w:p>
            <w:r>
              <w:rPr>
                <w:sz w:val="16"/>
              </w:rPr>
              <w:t>7</w:t>
            </w:r>
          </w:p>
        </w:tc>
        <w:tc>
          <w:tcPr>
            <w:tcW w:type="dxa" w:w="1040"/>
            <w:tcMar>
              <w:top w:w="60" w:type="dxa"/>
              <w:bottom w:w="60" w:type="dxa"/>
              <w:left w:w="100" w:type="dxa"/>
              <w:right w:w="100" w:type="dxa"/>
            </w:tcMar>
          </w:tcPr>
          <w:p>
            <w:r>
              <w:rPr>
                <w:sz w:val="16"/>
              </w:rPr>
              <w:t>7</w:t>
            </w:r>
          </w:p>
        </w:tc>
      </w:tr>
      <w:tr>
        <w:tc>
          <w:tcPr>
            <w:tcW w:type="dxa" w:w="1040"/>
            <w:tcMar>
              <w:top w:w="60" w:type="dxa"/>
              <w:bottom w:w="60" w:type="dxa"/>
              <w:left w:w="100" w:type="dxa"/>
              <w:right w:w="100" w:type="dxa"/>
            </w:tcMar>
          </w:tcPr>
          <w:p>
            <w:r>
              <w:rPr>
                <w:sz w:val="16"/>
              </w:rPr>
              <w:t>Random Forest</w:t>
            </w:r>
          </w:p>
        </w:tc>
        <w:tc>
          <w:tcPr>
            <w:tcW w:type="dxa" w:w="1040"/>
            <w:tcMar>
              <w:top w:w="60" w:type="dxa"/>
              <w:bottom w:w="60" w:type="dxa"/>
              <w:left w:w="100" w:type="dxa"/>
              <w:right w:w="100" w:type="dxa"/>
            </w:tcMar>
          </w:tcPr>
          <w:p>
            <w:r>
              <w:rPr>
                <w:sz w:val="16"/>
              </w:rPr>
              <w:t>88.79%</w:t>
            </w:r>
          </w:p>
        </w:tc>
        <w:tc>
          <w:tcPr>
            <w:tcW w:type="dxa" w:w="1040"/>
            <w:tcMar>
              <w:top w:w="60" w:type="dxa"/>
              <w:bottom w:w="60" w:type="dxa"/>
              <w:left w:w="100" w:type="dxa"/>
              <w:right w:w="100" w:type="dxa"/>
            </w:tcMar>
          </w:tcPr>
          <w:p>
            <w:r>
              <w:rPr>
                <w:sz w:val="16"/>
              </w:rPr>
              <w:t>87.50%</w:t>
            </w:r>
          </w:p>
        </w:tc>
        <w:tc>
          <w:tcPr>
            <w:tcW w:type="dxa" w:w="1040"/>
            <w:tcMar>
              <w:top w:w="60" w:type="dxa"/>
              <w:bottom w:w="60" w:type="dxa"/>
              <w:left w:w="100" w:type="dxa"/>
              <w:right w:w="100" w:type="dxa"/>
            </w:tcMar>
          </w:tcPr>
          <w:p>
            <w:r>
              <w:rPr>
                <w:sz w:val="16"/>
              </w:rPr>
              <w:t>89.47%</w:t>
            </w:r>
          </w:p>
        </w:tc>
        <w:tc>
          <w:tcPr>
            <w:tcW w:type="dxa" w:w="1040"/>
            <w:tcMar>
              <w:top w:w="60" w:type="dxa"/>
              <w:bottom w:w="60" w:type="dxa"/>
              <w:left w:w="100" w:type="dxa"/>
              <w:right w:w="100" w:type="dxa"/>
            </w:tcMar>
          </w:tcPr>
          <w:p>
            <w:r>
              <w:rPr>
                <w:sz w:val="16"/>
              </w:rPr>
              <w:t>0.8140</w:t>
            </w:r>
          </w:p>
        </w:tc>
        <w:tc>
          <w:tcPr>
            <w:tcW w:type="dxa" w:w="1040"/>
            <w:tcMar>
              <w:top w:w="60" w:type="dxa"/>
              <w:bottom w:w="60" w:type="dxa"/>
              <w:left w:w="100" w:type="dxa"/>
              <w:right w:w="100" w:type="dxa"/>
            </w:tcMar>
          </w:tcPr>
          <w:p>
            <w:r>
              <w:rPr>
                <w:sz w:val="16"/>
              </w:rPr>
              <w:t>0.8434</w:t>
            </w:r>
          </w:p>
        </w:tc>
        <w:tc>
          <w:tcPr>
            <w:tcW w:type="dxa" w:w="1040"/>
            <w:tcMar>
              <w:top w:w="60" w:type="dxa"/>
              <w:bottom w:w="60" w:type="dxa"/>
              <w:left w:w="100" w:type="dxa"/>
              <w:right w:w="100" w:type="dxa"/>
            </w:tcMar>
          </w:tcPr>
          <w:p>
            <w:r>
              <w:rPr>
                <w:sz w:val="16"/>
              </w:rPr>
              <w:t>0.9431</w:t>
            </w:r>
          </w:p>
        </w:tc>
        <w:tc>
          <w:tcPr>
            <w:tcW w:type="dxa" w:w="1040"/>
            <w:tcMar>
              <w:top w:w="60" w:type="dxa"/>
              <w:bottom w:w="60" w:type="dxa"/>
              <w:left w:w="100" w:type="dxa"/>
              <w:right w:w="100" w:type="dxa"/>
            </w:tcMar>
          </w:tcPr>
          <w:p>
            <w:r>
              <w:rPr>
                <w:sz w:val="16"/>
              </w:rPr>
              <w:t>5</w:t>
            </w:r>
          </w:p>
        </w:tc>
        <w:tc>
          <w:tcPr>
            <w:tcW w:type="dxa" w:w="1040"/>
            <w:tcMar>
              <w:top w:w="60" w:type="dxa"/>
              <w:bottom w:w="60" w:type="dxa"/>
              <w:left w:w="100" w:type="dxa"/>
              <w:right w:w="100" w:type="dxa"/>
            </w:tcMar>
          </w:tcPr>
          <w:p>
            <w:r>
              <w:rPr>
                <w:sz w:val="16"/>
              </w:rPr>
              <w:t>8</w:t>
            </w:r>
          </w:p>
        </w:tc>
      </w:tr>
      <w:tr>
        <w:tc>
          <w:tcPr>
            <w:tcW w:type="dxa" w:w="1040"/>
            <w:tcMar>
              <w:top w:w="60" w:type="dxa"/>
              <w:bottom w:w="60" w:type="dxa"/>
              <w:left w:w="100" w:type="dxa"/>
              <w:right w:w="100" w:type="dxa"/>
            </w:tcMar>
          </w:tcPr>
          <w:p>
            <w:r>
              <w:rPr>
                <w:sz w:val="16"/>
              </w:rPr>
              <w:t>Gradient Boosting</w:t>
            </w:r>
          </w:p>
        </w:tc>
        <w:tc>
          <w:tcPr>
            <w:tcW w:type="dxa" w:w="1040"/>
            <w:tcMar>
              <w:top w:w="60" w:type="dxa"/>
              <w:bottom w:w="60" w:type="dxa"/>
              <w:left w:w="100" w:type="dxa"/>
              <w:right w:w="100" w:type="dxa"/>
            </w:tcMar>
          </w:tcPr>
          <w:p>
            <w:r>
              <w:rPr>
                <w:sz w:val="16"/>
              </w:rPr>
              <w:t>89.66%</w:t>
            </w:r>
          </w:p>
        </w:tc>
        <w:tc>
          <w:tcPr>
            <w:tcW w:type="dxa" w:w="1040"/>
            <w:tcMar>
              <w:top w:w="60" w:type="dxa"/>
              <w:bottom w:w="60" w:type="dxa"/>
              <w:left w:w="100" w:type="dxa"/>
              <w:right w:w="100" w:type="dxa"/>
            </w:tcMar>
          </w:tcPr>
          <w:p>
            <w:r>
              <w:rPr>
                <w:sz w:val="16"/>
              </w:rPr>
              <w:t>85.00%</w:t>
            </w:r>
          </w:p>
        </w:tc>
        <w:tc>
          <w:tcPr>
            <w:tcW w:type="dxa" w:w="1040"/>
            <w:tcMar>
              <w:top w:w="60" w:type="dxa"/>
              <w:bottom w:w="60" w:type="dxa"/>
              <w:left w:w="100" w:type="dxa"/>
              <w:right w:w="100" w:type="dxa"/>
            </w:tcMar>
          </w:tcPr>
          <w:p>
            <w:r>
              <w:rPr>
                <w:sz w:val="16"/>
              </w:rPr>
              <w:t>92.11%</w:t>
            </w:r>
          </w:p>
        </w:tc>
        <w:tc>
          <w:tcPr>
            <w:tcW w:type="dxa" w:w="1040"/>
            <w:tcMar>
              <w:top w:w="60" w:type="dxa"/>
              <w:bottom w:w="60" w:type="dxa"/>
              <w:left w:w="100" w:type="dxa"/>
              <w:right w:w="100" w:type="dxa"/>
            </w:tcMar>
          </w:tcPr>
          <w:p>
            <w:r>
              <w:rPr>
                <w:sz w:val="16"/>
              </w:rPr>
              <w:t>0.8500</w:t>
            </w:r>
          </w:p>
        </w:tc>
        <w:tc>
          <w:tcPr>
            <w:tcW w:type="dxa" w:w="1040"/>
            <w:tcMar>
              <w:top w:w="60" w:type="dxa"/>
              <w:bottom w:w="60" w:type="dxa"/>
              <w:left w:w="100" w:type="dxa"/>
              <w:right w:w="100" w:type="dxa"/>
            </w:tcMar>
          </w:tcPr>
          <w:p>
            <w:r>
              <w:rPr>
                <w:sz w:val="16"/>
              </w:rPr>
              <w:t>0.8500</w:t>
            </w:r>
          </w:p>
        </w:tc>
        <w:tc>
          <w:tcPr>
            <w:tcW w:type="dxa" w:w="1040"/>
            <w:tcMar>
              <w:top w:w="60" w:type="dxa"/>
              <w:bottom w:w="60" w:type="dxa"/>
              <w:left w:w="100" w:type="dxa"/>
              <w:right w:w="100" w:type="dxa"/>
            </w:tcMar>
          </w:tcPr>
          <w:p>
            <w:r>
              <w:rPr>
                <w:sz w:val="16"/>
              </w:rPr>
              <w:t>0.9579</w:t>
            </w:r>
          </w:p>
        </w:tc>
        <w:tc>
          <w:tcPr>
            <w:tcW w:type="dxa" w:w="1040"/>
            <w:tcMar>
              <w:top w:w="60" w:type="dxa"/>
              <w:bottom w:w="60" w:type="dxa"/>
              <w:left w:w="100" w:type="dxa"/>
              <w:right w:w="100" w:type="dxa"/>
            </w:tcMar>
          </w:tcPr>
          <w:p>
            <w:r>
              <w:rPr>
                <w:sz w:val="16"/>
              </w:rPr>
              <w:t>6</w:t>
            </w:r>
          </w:p>
        </w:tc>
        <w:tc>
          <w:tcPr>
            <w:tcW w:type="dxa" w:w="1040"/>
            <w:tcMar>
              <w:top w:w="60" w:type="dxa"/>
              <w:bottom w:w="60" w:type="dxa"/>
              <w:left w:w="100" w:type="dxa"/>
              <w:right w:w="100" w:type="dxa"/>
            </w:tcMar>
          </w:tcPr>
          <w:p>
            <w:r>
              <w:rPr>
                <w:sz w:val="16"/>
              </w:rPr>
              <w:t>6</w:t>
            </w:r>
          </w:p>
        </w:tc>
      </w:tr>
      <w:tr>
        <w:tc>
          <w:tcPr>
            <w:tcW w:type="dxa" w:w="1040"/>
            <w:tcMar>
              <w:top w:w="60" w:type="dxa"/>
              <w:bottom w:w="60" w:type="dxa"/>
              <w:left w:w="100" w:type="dxa"/>
              <w:right w:w="100" w:type="dxa"/>
            </w:tcMar>
          </w:tcPr>
          <w:p>
            <w:r>
              <w:rPr>
                <w:sz w:val="16"/>
              </w:rPr>
              <w:t>MLP (Baseline)</w:t>
            </w:r>
          </w:p>
        </w:tc>
        <w:tc>
          <w:tcPr>
            <w:tcW w:type="dxa" w:w="1040"/>
            <w:tcMar>
              <w:top w:w="60" w:type="dxa"/>
              <w:bottom w:w="60" w:type="dxa"/>
              <w:left w:w="100" w:type="dxa"/>
              <w:right w:w="100" w:type="dxa"/>
            </w:tcMar>
          </w:tcPr>
          <w:p>
            <w:r>
              <w:rPr>
                <w:sz w:val="16"/>
              </w:rPr>
              <w:t>81.03%</w:t>
            </w:r>
          </w:p>
        </w:tc>
        <w:tc>
          <w:tcPr>
            <w:tcW w:type="dxa" w:w="1040"/>
            <w:tcMar>
              <w:top w:w="60" w:type="dxa"/>
              <w:bottom w:w="60" w:type="dxa"/>
              <w:left w:w="100" w:type="dxa"/>
              <w:right w:w="100" w:type="dxa"/>
            </w:tcMar>
          </w:tcPr>
          <w:p>
            <w:r>
              <w:rPr>
                <w:sz w:val="16"/>
              </w:rPr>
              <w:t>65.00%</w:t>
            </w:r>
          </w:p>
        </w:tc>
        <w:tc>
          <w:tcPr>
            <w:tcW w:type="dxa" w:w="1040"/>
            <w:tcMar>
              <w:top w:w="60" w:type="dxa"/>
              <w:bottom w:w="60" w:type="dxa"/>
              <w:left w:w="100" w:type="dxa"/>
              <w:right w:w="100" w:type="dxa"/>
            </w:tcMar>
          </w:tcPr>
          <w:p>
            <w:r>
              <w:rPr>
                <w:sz w:val="16"/>
              </w:rPr>
              <w:t>89.47%</w:t>
            </w:r>
          </w:p>
        </w:tc>
        <w:tc>
          <w:tcPr>
            <w:tcW w:type="dxa" w:w="1040"/>
            <w:tcMar>
              <w:top w:w="60" w:type="dxa"/>
              <w:bottom w:w="60" w:type="dxa"/>
              <w:left w:w="100" w:type="dxa"/>
              <w:right w:w="100" w:type="dxa"/>
            </w:tcMar>
          </w:tcPr>
          <w:p>
            <w:r>
              <w:rPr>
                <w:sz w:val="16"/>
              </w:rPr>
              <w:t>0.7647</w:t>
            </w:r>
          </w:p>
        </w:tc>
        <w:tc>
          <w:tcPr>
            <w:tcW w:type="dxa" w:w="1040"/>
            <w:tcMar>
              <w:top w:w="60" w:type="dxa"/>
              <w:bottom w:w="60" w:type="dxa"/>
              <w:left w:w="100" w:type="dxa"/>
              <w:right w:w="100" w:type="dxa"/>
            </w:tcMar>
          </w:tcPr>
          <w:p>
            <w:r>
              <w:rPr>
                <w:sz w:val="16"/>
              </w:rPr>
              <w:t>0.7027</w:t>
            </w:r>
          </w:p>
        </w:tc>
        <w:tc>
          <w:tcPr>
            <w:tcW w:type="dxa" w:w="1040"/>
            <w:tcMar>
              <w:top w:w="60" w:type="dxa"/>
              <w:bottom w:w="60" w:type="dxa"/>
              <w:left w:w="100" w:type="dxa"/>
              <w:right w:w="100" w:type="dxa"/>
            </w:tcMar>
          </w:tcPr>
          <w:p>
            <w:r>
              <w:rPr>
                <w:sz w:val="16"/>
              </w:rPr>
              <w:t>0.8625</w:t>
            </w:r>
          </w:p>
        </w:tc>
        <w:tc>
          <w:tcPr>
            <w:tcW w:type="dxa" w:w="1040"/>
            <w:tcMar>
              <w:top w:w="60" w:type="dxa"/>
              <w:bottom w:w="60" w:type="dxa"/>
              <w:left w:w="100" w:type="dxa"/>
              <w:right w:w="100" w:type="dxa"/>
            </w:tcMar>
          </w:tcPr>
          <w:p>
            <w:r>
              <w:rPr>
                <w:sz w:val="16"/>
              </w:rPr>
              <w:t>14</w:t>
            </w:r>
          </w:p>
        </w:tc>
        <w:tc>
          <w:tcPr>
            <w:tcW w:type="dxa" w:w="1040"/>
            <w:tcMar>
              <w:top w:w="60" w:type="dxa"/>
              <w:bottom w:w="60" w:type="dxa"/>
              <w:left w:w="100" w:type="dxa"/>
              <w:right w:w="100" w:type="dxa"/>
            </w:tcMar>
          </w:tcPr>
          <w:p>
            <w:r>
              <w:rPr>
                <w:sz w:val="16"/>
              </w:rPr>
              <w:t>8</w:t>
            </w:r>
          </w:p>
        </w:tc>
      </w:tr>
      <w:tr>
        <w:tc>
          <w:tcPr>
            <w:tcW w:type="dxa" w:w="1040"/>
            <w:shd w:fill="E0F2FE"/>
            <w:tcMar>
              <w:top w:w="60" w:type="dxa"/>
              <w:bottom w:w="60" w:type="dxa"/>
              <w:left w:w="100" w:type="dxa"/>
              <w:right w:w="100" w:type="dxa"/>
            </w:tcMar>
          </w:tcPr>
          <w:p>
            <w:r>
              <w:rPr>
                <w:b/>
                <w:sz w:val="16"/>
              </w:rPr>
              <w:t>MLP (Optimized)</w:t>
            </w:r>
          </w:p>
        </w:tc>
        <w:tc>
          <w:tcPr>
            <w:tcW w:type="dxa" w:w="1040"/>
            <w:shd w:fill="E0F2FE"/>
            <w:tcMar>
              <w:top w:w="60" w:type="dxa"/>
              <w:bottom w:w="60" w:type="dxa"/>
              <w:left w:w="100" w:type="dxa"/>
              <w:right w:w="100" w:type="dxa"/>
            </w:tcMar>
          </w:tcPr>
          <w:p>
            <w:r>
              <w:rPr>
                <w:b/>
                <w:sz w:val="16"/>
              </w:rPr>
              <w:t>82.76%</w:t>
            </w:r>
          </w:p>
        </w:tc>
        <w:tc>
          <w:tcPr>
            <w:tcW w:type="dxa" w:w="1040"/>
            <w:shd w:fill="E0F2FE"/>
            <w:tcMar>
              <w:top w:w="60" w:type="dxa"/>
              <w:bottom w:w="60" w:type="dxa"/>
              <w:left w:w="100" w:type="dxa"/>
              <w:right w:w="100" w:type="dxa"/>
            </w:tcMar>
          </w:tcPr>
          <w:p>
            <w:r>
              <w:rPr>
                <w:b/>
                <w:sz w:val="16"/>
              </w:rPr>
              <w:t>75.00%</w:t>
            </w:r>
          </w:p>
        </w:tc>
        <w:tc>
          <w:tcPr>
            <w:tcW w:type="dxa" w:w="1040"/>
            <w:shd w:fill="E0F2FE"/>
            <w:tcMar>
              <w:top w:w="60" w:type="dxa"/>
              <w:bottom w:w="60" w:type="dxa"/>
              <w:left w:w="100" w:type="dxa"/>
              <w:right w:w="100" w:type="dxa"/>
            </w:tcMar>
          </w:tcPr>
          <w:p>
            <w:r>
              <w:rPr>
                <w:b/>
                <w:sz w:val="16"/>
              </w:rPr>
              <w:t>86.84%</w:t>
            </w:r>
          </w:p>
        </w:tc>
        <w:tc>
          <w:tcPr>
            <w:tcW w:type="dxa" w:w="1040"/>
            <w:shd w:fill="E0F2FE"/>
            <w:tcMar>
              <w:top w:w="60" w:type="dxa"/>
              <w:bottom w:w="60" w:type="dxa"/>
              <w:left w:w="100" w:type="dxa"/>
              <w:right w:w="100" w:type="dxa"/>
            </w:tcMar>
          </w:tcPr>
          <w:p>
            <w:r>
              <w:rPr>
                <w:b/>
                <w:sz w:val="16"/>
              </w:rPr>
              <w:t>0.7500</w:t>
            </w:r>
          </w:p>
        </w:tc>
        <w:tc>
          <w:tcPr>
            <w:tcW w:type="dxa" w:w="1040"/>
            <w:shd w:fill="E0F2FE"/>
            <w:tcMar>
              <w:top w:w="60" w:type="dxa"/>
              <w:bottom w:w="60" w:type="dxa"/>
              <w:left w:w="100" w:type="dxa"/>
              <w:right w:w="100" w:type="dxa"/>
            </w:tcMar>
          </w:tcPr>
          <w:p>
            <w:r>
              <w:rPr>
                <w:b/>
                <w:sz w:val="16"/>
              </w:rPr>
              <w:t>0.7500</w:t>
            </w:r>
          </w:p>
        </w:tc>
        <w:tc>
          <w:tcPr>
            <w:tcW w:type="dxa" w:w="1040"/>
            <w:shd w:fill="E0F2FE"/>
            <w:tcMar>
              <w:top w:w="60" w:type="dxa"/>
              <w:bottom w:w="60" w:type="dxa"/>
              <w:left w:w="100" w:type="dxa"/>
              <w:right w:w="100" w:type="dxa"/>
            </w:tcMar>
          </w:tcPr>
          <w:p>
            <w:r>
              <w:rPr>
                <w:b/>
                <w:sz w:val="16"/>
              </w:rPr>
              <w:t>0.8681</w:t>
            </w:r>
          </w:p>
        </w:tc>
        <w:tc>
          <w:tcPr>
            <w:tcW w:type="dxa" w:w="1040"/>
            <w:shd w:fill="E0F2FE"/>
            <w:tcMar>
              <w:top w:w="60" w:type="dxa"/>
              <w:bottom w:w="60" w:type="dxa"/>
              <w:left w:w="100" w:type="dxa"/>
              <w:right w:w="100" w:type="dxa"/>
            </w:tcMar>
          </w:tcPr>
          <w:p>
            <w:r>
              <w:rPr>
                <w:b/>
                <w:sz w:val="16"/>
              </w:rPr>
              <w:t>10</w:t>
            </w:r>
          </w:p>
        </w:tc>
        <w:tc>
          <w:tcPr>
            <w:tcW w:type="dxa" w:w="1040"/>
            <w:shd w:fill="E0F2FE"/>
            <w:tcMar>
              <w:top w:w="60" w:type="dxa"/>
              <w:bottom w:w="60" w:type="dxa"/>
              <w:left w:w="100" w:type="dxa"/>
              <w:right w:w="100" w:type="dxa"/>
            </w:tcMar>
          </w:tcPr>
          <w:p>
            <w:r>
              <w:rPr>
                <w:b/>
                <w:sz w:val="16"/>
              </w:rPr>
              <w:t>10</w:t>
            </w:r>
          </w:p>
        </w:tc>
      </w:tr>
    </w:tbl>
    <w:p>
      <w:pPr>
        <w:keepNext/>
        <w:spacing w:before="280" w:after="80"/>
      </w:pPr>
      <w:r>
        <w:rPr>
          <w:rFonts w:ascii="Times New Roman" w:hAnsi="Times New Roman"/>
          <w:b/>
          <w:color w:val="0F172A"/>
          <w:sz w:val="28"/>
        </w:rPr>
        <w:t>9 Hyperparameter Tuning</w:t>
      </w:r>
    </w:p>
    <w:p>
      <w:pPr>
        <w:spacing w:after="80" w:line="276" w:lineRule="auto"/>
      </w:pPr>
      <w:r>
        <w:rPr>
          <w:rFonts w:ascii="Times New Roman" w:hAnsi="Times New Roman"/>
          <w:sz w:val="21"/>
        </w:rPr>
        <w:t>A systematic Grid Search was conducted across 8 candidate configurations over hidden layer architectures, L2 weight decay penalty (alpha), learning rates, and batch sizes. The optimal configuration: Hidden Topology: (64, 32), Activation: ReLU, Optimizer: Adam, alpha = 0.001, Initial Learning Rate = 0.001, Batch Size = 32 achieved highest validation ROC-AUC (0.8645).</w:t>
      </w:r>
    </w:p>
    <w:p>
      <w:pPr>
        <w:keepNext/>
        <w:spacing w:before="280" w:after="80"/>
      </w:pPr>
      <w:r>
        <w:rPr>
          <w:rFonts w:ascii="Times New Roman" w:hAnsi="Times New Roman"/>
          <w:b/>
          <w:color w:val="0F172A"/>
          <w:sz w:val="28"/>
        </w:rPr>
        <w:t>10 Final Model Training &amp; 11 Final Evaluation</w:t>
      </w:r>
    </w:p>
    <w:p>
      <w:pPr>
        <w:spacing w:after="80" w:line="276" w:lineRule="auto"/>
      </w:pPr>
      <w:r>
        <w:rPr>
          <w:rFonts w:ascii="Times New Roman" w:hAnsi="Times New Roman"/>
          <w:sz w:val="21"/>
        </w:rPr>
        <w:t>The optimal MLP architecture was retrained on combined Train + Validation data (N = 652) and evaluated on the untouched test partition (N = 116). The optimized MLP achieved 82.76% Accuracy, 75.00% Sensitivity (30/40 diabetic cases identified), 86.84% Specificity (66/76 non-diabetic cases identified), and 0.8681 ROC-AUC.</w:t>
      </w:r>
    </w:p>
    <w:p>
      <w:pPr>
        <w:keepNext/>
        <w:spacing w:before="280" w:after="80"/>
      </w:pPr>
      <w:r>
        <w:rPr>
          <w:rFonts w:ascii="Times New Roman" w:hAnsi="Times New Roman"/>
          <w:b/>
          <w:color w:val="0F172A"/>
          <w:sz w:val="28"/>
        </w:rPr>
        <w:t>12 Model Deployment and Testing</w:t>
      </w:r>
    </w:p>
    <w:p>
      <w:pPr>
        <w:spacing w:after="80" w:line="276" w:lineRule="auto"/>
      </w:pPr>
      <w:r>
        <w:rPr>
          <w:rFonts w:ascii="Times New Roman" w:hAnsi="Times New Roman"/>
          <w:sz w:val="21"/>
        </w:rPr>
        <w:t>• 12.1 Deployment Approach: Production deployment using Python + Streamlit Community Cloud (zero React/JS dependencies).</w:t>
        <w:br/>
        <w:t>• 12.2 Deployment Tool: Streamlit 1.28+, Plotly 5.15+ for interactive gauges and radar charts, Joblib 1.3+ for model deserialization.</w:t>
        <w:br/>
        <w:t>• 12.3 User Interface: 'EndoPredict AI' multi-tab dashboard featuring single patient triage, biometric radar profile, interactive What-If sensitivity simulator, and batch cohort screening.</w:t>
        <w:br/>
        <w:t>• 12.4 Prediction Workflow: Raw patient input -&gt; Validation -&gt; Training-fitted median imputation -&gt; Feature engineering -&gt; Scaling -&gt; MLPClassifier probability -&gt; Decision threshold -&gt; Risk stratum.</w:t>
        <w:br/>
        <w:t>• 12.5 Deployment Testing: Comprehensive automated test suite (test_deployment.py) passing 7/7 unit and contract tests in under 3.5 seconds.</w:t>
      </w:r>
    </w:p>
    <w:p>
      <w:pPr>
        <w:keepNext/>
        <w:spacing w:before="280" w:after="80"/>
      </w:pPr>
      <w:r>
        <w:rPr>
          <w:rFonts w:ascii="Times New Roman" w:hAnsi="Times New Roman"/>
          <w:b/>
          <w:color w:val="0F172A"/>
          <w:sz w:val="28"/>
        </w:rPr>
        <w:t>13 Results &amp; Discussion</w:t>
      </w:r>
    </w:p>
    <w:p>
      <w:pPr>
        <w:spacing w:after="80" w:line="276" w:lineRule="auto"/>
      </w:pPr>
      <w:r>
        <w:rPr>
          <w:rFonts w:ascii="Times New Roman" w:hAnsi="Times New Roman"/>
          <w:sz w:val="21"/>
        </w:rPr>
        <w:t>The optimized MLP achieved strong predictive power by capturing non-linear metabolic risk surfaces. In clinical screening, False Negatives present high hazard because untreated diabetes causes irreversible organ damage. The dynamic threshold slider in EndoPredict AI allows clinicians to lower tau to 0.35, reducing False Negatives from 10 to 4.</w:t>
      </w:r>
    </w:p>
    <w:p>
      <w:pPr>
        <w:keepNext/>
        <w:spacing w:before="280" w:after="80"/>
      </w:pPr>
      <w:r>
        <w:rPr>
          <w:rFonts w:ascii="Times New Roman" w:hAnsi="Times New Roman"/>
          <w:b/>
          <w:color w:val="0F172A"/>
          <w:sz w:val="28"/>
        </w:rPr>
        <w:t>14 Limitations</w:t>
      </w:r>
    </w:p>
    <w:p>
      <w:pPr>
        <w:spacing w:after="80" w:line="276" w:lineRule="auto"/>
      </w:pPr>
      <w:r>
        <w:rPr>
          <w:rFonts w:ascii="Times New Roman" w:hAnsi="Times New Roman"/>
          <w:sz w:val="21"/>
        </w:rPr>
        <w:t>The dataset is limited to N = 768 female patients of Pima Indian heritage; external clinical validation on broader multi-ethnic cohorts is required.</w:t>
      </w:r>
    </w:p>
    <w:p>
      <w:pPr>
        <w:keepNext/>
        <w:spacing w:before="280" w:after="80"/>
      </w:pPr>
      <w:r>
        <w:rPr>
          <w:rFonts w:ascii="Times New Roman" w:hAnsi="Times New Roman"/>
          <w:b/>
          <w:color w:val="0F172A"/>
          <w:sz w:val="28"/>
        </w:rPr>
        <w:t>15 Conclusion</w:t>
      </w:r>
    </w:p>
    <w:p>
      <w:pPr>
        <w:spacing w:after="80" w:line="276" w:lineRule="auto"/>
      </w:pPr>
      <w:r>
        <w:rPr>
          <w:rFonts w:ascii="Times New Roman" w:hAnsi="Times New Roman"/>
          <w:sz w:val="21"/>
        </w:rPr>
        <w:t>A leak-free, reproducible machine learning system was successfully developed and deployed for diabetes onset prediction using an optimized Scikit-Learn Multilayer Perceptron.</w:t>
      </w:r>
    </w:p>
    <w:p>
      <w:pPr>
        <w:keepNext/>
        <w:spacing w:before="280" w:after="80"/>
      </w:pPr>
      <w:r>
        <w:rPr>
          <w:rFonts w:ascii="Times New Roman" w:hAnsi="Times New Roman"/>
          <w:b/>
          <w:color w:val="0F172A"/>
          <w:sz w:val="28"/>
        </w:rPr>
        <w:t>16 Future Scope</w:t>
      </w:r>
    </w:p>
    <w:p>
      <w:pPr>
        <w:spacing w:after="80" w:line="276" w:lineRule="auto"/>
      </w:pPr>
      <w:r>
        <w:rPr>
          <w:rFonts w:ascii="Times New Roman" w:hAnsi="Times New Roman"/>
          <w:sz w:val="21"/>
        </w:rPr>
        <w:t>Future research includes multi-center cohort validation (NHANES), self-attention tabular architectures (TabNet), SHAP feature explainability, and mobile edge deployment.</w:t>
      </w:r>
    </w:p>
    <w:p>
      <w:pPr>
        <w:keepNext/>
        <w:spacing w:before="280" w:after="80"/>
      </w:pPr>
      <w:r>
        <w:rPr>
          <w:rFonts w:ascii="Times New Roman" w:hAnsi="Times New Roman"/>
          <w:b/>
          <w:color w:val="0F172A"/>
          <w:sz w:val="28"/>
        </w:rPr>
        <w:t>References</w:t>
      </w:r>
    </w:p>
    <w:p>
      <w:pPr>
        <w:spacing w:after="80" w:line="276" w:lineRule="auto"/>
      </w:pPr>
      <w:r>
        <w:rPr>
          <w:rFonts w:ascii="Times New Roman" w:hAnsi="Times New Roman"/>
          <w:sz w:val="21"/>
        </w:rPr>
        <w:t>[1] J. W. Smith, J. E. Everhart, W. C. Dickson, W. C. Knowler, and R. S. Johannes, “Using the ADAP learning algorithm to forecast the onset of diabetes mellitus,” in Proc. Annu. Symp. Comput. Appl. Med. Care, 1988, pp. 261–265.</w:t>
      </w:r>
    </w:p>
    <w:p>
      <w:pPr>
        <w:spacing w:after="80" w:line="276" w:lineRule="auto"/>
      </w:pPr>
      <w:r>
        <w:rPr>
          <w:rFonts w:ascii="Times New Roman" w:hAnsi="Times New Roman"/>
          <w:sz w:val="21"/>
        </w:rPr>
        <w:t>[2] American Diabetes Association, “Standards of Medical Care in Diabetes—2024,” Diabetes Care, vol. 47, no. Suppl. 1, pp. S1–S343, 2024.</w:t>
      </w:r>
    </w:p>
    <w:p>
      <w:pPr>
        <w:spacing w:after="80" w:line="276" w:lineRule="auto"/>
      </w:pPr>
      <w:r>
        <w:rPr>
          <w:rFonts w:ascii="Times New Roman" w:hAnsi="Times New Roman"/>
          <w:sz w:val="21"/>
        </w:rPr>
        <w:t>[3] I. Kavakiotis et al., “Machine learning and data mining methods in diabetes research,” Comput. Struct. Biotechnol. J., vol. 15, pp. 104–116, 2017.</w:t>
      </w:r>
    </w:p>
    <w:p>
      <w:pPr>
        <w:spacing w:after="80" w:line="276" w:lineRule="auto"/>
      </w:pPr>
      <w:r>
        <w:rPr>
          <w:rFonts w:ascii="Times New Roman" w:hAnsi="Times New Roman"/>
          <w:sz w:val="21"/>
        </w:rPr>
        <w:t>[4] D. Sisodia and D. S. Sisodia, “Prediction of diabetes using classification algorithms,” Procedia Comput. Sci., vol. 132, pp. 1578–1585, 2018.</w:t>
      </w:r>
    </w:p>
    <w:p>
      <w:pPr>
        <w:spacing w:after="80" w:line="276" w:lineRule="auto"/>
      </w:pPr>
      <w:r>
        <w:rPr>
          <w:rFonts w:ascii="Times New Roman" w:hAnsi="Times New Roman"/>
          <w:sz w:val="21"/>
        </w:rPr>
        <w:t>[5] F. Pedregosa et al., “Scikit-learn: Machine learning in Python,” J. Mach. Learn. Res., vol. 12, pp. 2825–2830, 2011.</w:t>
      </w:r>
    </w:p>
    <w:p>
      <w:pPr>
        <w:keepNext/>
        <w:spacing w:before="280" w:after="80"/>
      </w:pPr>
      <w:r>
        <w:rPr>
          <w:rFonts w:ascii="Times New Roman" w:hAnsi="Times New Roman"/>
          <w:b/>
          <w:color w:val="0F172A"/>
          <w:sz w:val="28"/>
        </w:rPr>
        <w:t>Appendix A: Source Code Structure</w:t>
      </w:r>
    </w:p>
    <w:p>
      <w:pPr>
        <w:spacing w:after="80" w:line="276" w:lineRule="auto"/>
      </w:pPr>
      <w:r>
        <w:rPr>
          <w:rFonts w:ascii="Times New Roman" w:hAnsi="Times New Roman"/>
          <w:sz w:val="21"/>
        </w:rPr>
        <w:t>The project source code is organized into modular single-responsibility scripts:</w:t>
        <w:br/>
        <w:t>• src/preprocessing.py: DiabetesPreprocessor pipeline handling zero detection, median imputation, and scaling.</w:t>
        <w:br/>
        <w:t>• src/feature_engineering.py: Mathematical implementation of all 16 domain features.</w:t>
        <w:br/>
        <w:t>• src/models.py: Factory functions for baseline classifiers and MLPClassifier.</w:t>
        <w:br/>
        <w:t>• src/train.py: Automated training, hyperparameter grid search, and model serialization.</w:t>
        <w:br/>
        <w:t>• src/prediction.py: Unified inference engine for single and batch predictions.</w:t>
        <w:br/>
        <w:t>• app/app.py: Enterprise Streamlit web dashboard.</w:t>
      </w:r>
    </w:p>
    <w:p>
      <w:pPr>
        <w:keepNext/>
        <w:spacing w:before="280" w:after="80"/>
      </w:pPr>
      <w:r>
        <w:rPr>
          <w:rFonts w:ascii="Times New Roman" w:hAnsi="Times New Roman"/>
          <w:b/>
          <w:color w:val="0F172A"/>
          <w:sz w:val="28"/>
        </w:rPr>
        <w:t>Appendix B: Additional Results</w:t>
      </w:r>
    </w:p>
    <w:p>
      <w:pPr>
        <w:spacing w:after="80" w:line="276" w:lineRule="auto"/>
      </w:pPr>
      <w:r>
        <w:rPr>
          <w:rFonts w:ascii="Times New Roman" w:hAnsi="Times New Roman"/>
          <w:sz w:val="21"/>
        </w:rPr>
        <w:t>Full confusion matrices, precision-recall curves, and training cross-entropy loss trajectories are saved in the results/ directory.</w:t>
      </w:r>
    </w:p>
    <w:p>
      <w:pPr>
        <w:keepNext/>
        <w:spacing w:before="280" w:after="80"/>
      </w:pPr>
      <w:r>
        <w:rPr>
          <w:rFonts w:ascii="Times New Roman" w:hAnsi="Times New Roman"/>
          <w:b/>
          <w:color w:val="0F172A"/>
          <w:sz w:val="28"/>
        </w:rPr>
        <w:t>Appendix C: Deployment Screenshots</w:t>
      </w:r>
    </w:p>
    <w:p>
      <w:pPr>
        <w:spacing w:after="80" w:line="276" w:lineRule="auto"/>
      </w:pPr>
      <w:r>
        <w:rPr>
          <w:rFonts w:ascii="Times New Roman" w:hAnsi="Times New Roman"/>
          <w:sz w:val="21"/>
        </w:rPr>
        <w:t>EndoPredict AI web interface is deployed at localhost:8501 and configured for Streamlit Community Cloud hosting.</w:t>
      </w:r>
    </w:p>
    <w:p>
      <w:pPr>
        <w:keepNext/>
        <w:spacing w:before="280" w:after="80"/>
      </w:pPr>
      <w:r>
        <w:rPr>
          <w:rFonts w:ascii="Times New Roman" w:hAnsi="Times New Roman"/>
          <w:b/>
          <w:color w:val="0F172A"/>
          <w:sz w:val="28"/>
        </w:rPr>
        <w:t>Appendix D: Contributions of Group Members</w:t>
      </w:r>
    </w:p>
    <w:p>
      <w:pPr>
        <w:spacing w:after="80" w:line="276" w:lineRule="auto"/>
      </w:pPr>
      <w:r>
        <w:rPr>
          <w:rFonts w:ascii="Times New Roman" w:hAnsi="Times New Roman"/>
          <w:sz w:val="21"/>
        </w:rPr>
        <w:t>Individual student responsibilities across all project phases: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Mar>
              <w:top w:w="80" w:type="dxa"/>
              <w:bottom w:w="80" w:type="dxa"/>
              <w:left w:w="100" w:type="dxa"/>
              <w:right w:w="100" w:type="dxa"/>
            </w:tcMar>
          </w:tcPr>
          <w:p>
            <w:r>
              <w:rPr>
                <w:b/>
                <w:color w:val="FFFFFF"/>
                <w:sz w:val="17"/>
              </w:rPr>
              <w:t>Sl.</w:t>
            </w:r>
          </w:p>
        </w:tc>
        <w:tc>
          <w:tcPr>
            <w:tcW w:type="dxa" w:w="1872"/>
            <w:shd w:fill="0F172A"/>
            <w:tcMar>
              <w:top w:w="80" w:type="dxa"/>
              <w:bottom w:w="80" w:type="dxa"/>
              <w:left w:w="100" w:type="dxa"/>
              <w:right w:w="100" w:type="dxa"/>
            </w:tcMar>
          </w:tcPr>
          <w:p>
            <w:r>
              <w:rPr>
                <w:b/>
                <w:color w:val="FFFFFF"/>
                <w:sz w:val="17"/>
              </w:rPr>
              <w:t>Group Member</w:t>
            </w:r>
          </w:p>
        </w:tc>
        <w:tc>
          <w:tcPr>
            <w:tcW w:type="dxa" w:w="1872"/>
            <w:shd w:fill="0F172A"/>
            <w:tcMar>
              <w:top w:w="80" w:type="dxa"/>
              <w:bottom w:w="80" w:type="dxa"/>
              <w:left w:w="100" w:type="dxa"/>
              <w:right w:w="100" w:type="dxa"/>
            </w:tcMar>
          </w:tcPr>
          <w:p>
            <w:r>
              <w:rPr>
                <w:b/>
                <w:color w:val="FFFFFF"/>
                <w:sz w:val="17"/>
              </w:rPr>
              <w:t>Regd. No.</w:t>
            </w:r>
          </w:p>
        </w:tc>
        <w:tc>
          <w:tcPr>
            <w:tcW w:type="dxa" w:w="1872"/>
            <w:shd w:fill="0F172A"/>
            <w:tcMar>
              <w:top w:w="80" w:type="dxa"/>
              <w:bottom w:w="80" w:type="dxa"/>
              <w:left w:w="100" w:type="dxa"/>
              <w:right w:w="100" w:type="dxa"/>
            </w:tcMar>
          </w:tcPr>
          <w:p>
            <w:r>
              <w:rPr>
                <w:b/>
                <w:color w:val="FFFFFF"/>
                <w:sz w:val="17"/>
              </w:rPr>
              <w:t>Role / Responsibility</w:t>
            </w:r>
          </w:p>
        </w:tc>
        <w:tc>
          <w:tcPr>
            <w:tcW w:type="dxa" w:w="1872"/>
            <w:shd w:fill="0F172A"/>
            <w:tcMar>
              <w:top w:w="80" w:type="dxa"/>
              <w:bottom w:w="80" w:type="dxa"/>
              <w:left w:w="100" w:type="dxa"/>
              <w:right w:w="100" w:type="dxa"/>
            </w:tcMar>
          </w:tcPr>
          <w:p>
            <w:r>
              <w:rPr>
                <w:b/>
                <w:color w:val="FFFFFF"/>
                <w:sz w:val="17"/>
              </w:rPr>
              <w:t>Contribution (%)</w:t>
            </w:r>
          </w:p>
        </w:tc>
      </w:tr>
      <w:tr>
        <w:tc>
          <w:tcPr>
            <w:tcW w:type="dxa" w:w="1872"/>
            <w:tcMar>
              <w:top w:w="60" w:type="dxa"/>
              <w:bottom w:w="60" w:type="dxa"/>
              <w:left w:w="100" w:type="dxa"/>
              <w:right w:w="100" w:type="dxa"/>
            </w:tcMar>
          </w:tcPr>
          <w:p>
            <w:r>
              <w:rPr>
                <w:sz w:val="17"/>
              </w:rPr>
              <w:t>1</w:t>
            </w:r>
          </w:p>
        </w:tc>
        <w:tc>
          <w:tcPr>
            <w:tcW w:type="dxa" w:w="1872"/>
            <w:tcMar>
              <w:top w:w="60" w:type="dxa"/>
              <w:bottom w:w="60" w:type="dxa"/>
              <w:left w:w="100" w:type="dxa"/>
              <w:right w:w="100" w:type="dxa"/>
            </w:tcMar>
          </w:tcPr>
          <w:p>
            <w:r>
              <w:rPr>
                <w:sz w:val="17"/>
              </w:rPr>
              <w:t>Tribhuwan Singh</w:t>
            </w:r>
          </w:p>
        </w:tc>
        <w:tc>
          <w:tcPr>
            <w:tcW w:type="dxa" w:w="1872"/>
            <w:tcMar>
              <w:top w:w="60" w:type="dxa"/>
              <w:bottom w:w="60" w:type="dxa"/>
              <w:left w:w="100" w:type="dxa"/>
              <w:right w:w="100" w:type="dxa"/>
            </w:tcMar>
          </w:tcPr>
          <w:p>
            <w:r>
              <w:rPr>
                <w:sz w:val="17"/>
              </w:rPr>
              <w:t>2341019538</w:t>
            </w:r>
          </w:p>
        </w:tc>
        <w:tc>
          <w:tcPr>
            <w:tcW w:type="dxa" w:w="1872"/>
            <w:tcMar>
              <w:top w:w="60" w:type="dxa"/>
              <w:bottom w:w="60" w:type="dxa"/>
              <w:left w:w="100" w:type="dxa"/>
              <w:right w:w="100" w:type="dxa"/>
            </w:tcMar>
          </w:tcPr>
          <w:p>
            <w:r>
              <w:rPr>
                <w:sz w:val="17"/>
              </w:rPr>
              <w:t>ML Lead, MLP Architecture &amp; Pipeline Architect</w:t>
            </w:r>
          </w:p>
        </w:tc>
        <w:tc>
          <w:tcPr>
            <w:tcW w:type="dxa" w:w="1872"/>
            <w:tcMar>
              <w:top w:w="60" w:type="dxa"/>
              <w:bottom w:w="60" w:type="dxa"/>
              <w:left w:w="100" w:type="dxa"/>
              <w:right w:w="100" w:type="dxa"/>
            </w:tcMar>
          </w:tcPr>
          <w:p>
            <w:r>
              <w:rPr>
                <w:sz w:val="17"/>
              </w:rPr>
              <w:t>25%</w:t>
            </w:r>
          </w:p>
        </w:tc>
      </w:tr>
      <w:tr>
        <w:tc>
          <w:tcPr>
            <w:tcW w:type="dxa" w:w="1872"/>
            <w:tcMar>
              <w:top w:w="60" w:type="dxa"/>
              <w:bottom w:w="60" w:type="dxa"/>
              <w:left w:w="100" w:type="dxa"/>
              <w:right w:w="100" w:type="dxa"/>
            </w:tcMar>
          </w:tcPr>
          <w:p>
            <w:r>
              <w:rPr>
                <w:sz w:val="17"/>
              </w:rPr>
              <w:t>2</w:t>
            </w:r>
          </w:p>
        </w:tc>
        <w:tc>
          <w:tcPr>
            <w:tcW w:type="dxa" w:w="1872"/>
            <w:tcMar>
              <w:top w:w="60" w:type="dxa"/>
              <w:bottom w:w="60" w:type="dxa"/>
              <w:left w:w="100" w:type="dxa"/>
              <w:right w:w="100" w:type="dxa"/>
            </w:tcMar>
          </w:tcPr>
          <w:p>
            <w:r>
              <w:rPr>
                <w:sz w:val="17"/>
              </w:rPr>
              <w:t>Surajit Sahoo</w:t>
            </w:r>
          </w:p>
        </w:tc>
        <w:tc>
          <w:tcPr>
            <w:tcW w:type="dxa" w:w="1872"/>
            <w:tcMar>
              <w:top w:w="60" w:type="dxa"/>
              <w:bottom w:w="60" w:type="dxa"/>
              <w:left w:w="100" w:type="dxa"/>
              <w:right w:w="100" w:type="dxa"/>
            </w:tcMar>
          </w:tcPr>
          <w:p>
            <w:r>
              <w:rPr>
                <w:sz w:val="17"/>
              </w:rPr>
              <w:t>2341019165</w:t>
            </w:r>
          </w:p>
        </w:tc>
        <w:tc>
          <w:tcPr>
            <w:tcW w:type="dxa" w:w="1872"/>
            <w:tcMar>
              <w:top w:w="60" w:type="dxa"/>
              <w:bottom w:w="60" w:type="dxa"/>
              <w:left w:w="100" w:type="dxa"/>
              <w:right w:w="100" w:type="dxa"/>
            </w:tcMar>
          </w:tcPr>
          <w:p>
            <w:r>
              <w:rPr>
                <w:sz w:val="17"/>
              </w:rPr>
              <w:t>Data Preprocessing, Imputation &amp; Baseline Modeling</w:t>
            </w:r>
          </w:p>
        </w:tc>
        <w:tc>
          <w:tcPr>
            <w:tcW w:type="dxa" w:w="1872"/>
            <w:tcMar>
              <w:top w:w="60" w:type="dxa"/>
              <w:bottom w:w="60" w:type="dxa"/>
              <w:left w:w="100" w:type="dxa"/>
              <w:right w:w="100" w:type="dxa"/>
            </w:tcMar>
          </w:tcPr>
          <w:p>
            <w:r>
              <w:rPr>
                <w:sz w:val="17"/>
              </w:rPr>
              <w:t>25%</w:t>
            </w:r>
          </w:p>
        </w:tc>
      </w:tr>
      <w:tr>
        <w:tc>
          <w:tcPr>
            <w:tcW w:type="dxa" w:w="1872"/>
            <w:tcMar>
              <w:top w:w="60" w:type="dxa"/>
              <w:bottom w:w="60" w:type="dxa"/>
              <w:left w:w="100" w:type="dxa"/>
              <w:right w:w="100" w:type="dxa"/>
            </w:tcMar>
          </w:tcPr>
          <w:p>
            <w:r>
              <w:rPr>
                <w:sz w:val="17"/>
              </w:rPr>
              <w:t>3</w:t>
            </w:r>
          </w:p>
        </w:tc>
        <w:tc>
          <w:tcPr>
            <w:tcW w:type="dxa" w:w="1872"/>
            <w:tcMar>
              <w:top w:w="60" w:type="dxa"/>
              <w:bottom w:w="60" w:type="dxa"/>
              <w:left w:w="100" w:type="dxa"/>
              <w:right w:w="100" w:type="dxa"/>
            </w:tcMar>
          </w:tcPr>
          <w:p>
            <w:r>
              <w:rPr>
                <w:sz w:val="17"/>
              </w:rPr>
              <w:t>Anwesha Srichandan</w:t>
            </w:r>
          </w:p>
        </w:tc>
        <w:tc>
          <w:tcPr>
            <w:tcW w:type="dxa" w:w="1872"/>
            <w:tcMar>
              <w:top w:w="60" w:type="dxa"/>
              <w:bottom w:w="60" w:type="dxa"/>
              <w:left w:w="100" w:type="dxa"/>
              <w:right w:w="100" w:type="dxa"/>
            </w:tcMar>
          </w:tcPr>
          <w:p>
            <w:r>
              <w:rPr>
                <w:sz w:val="17"/>
              </w:rPr>
              <w:t>2341019594</w:t>
            </w:r>
          </w:p>
        </w:tc>
        <w:tc>
          <w:tcPr>
            <w:tcW w:type="dxa" w:w="1872"/>
            <w:tcMar>
              <w:top w:w="60" w:type="dxa"/>
              <w:bottom w:w="60" w:type="dxa"/>
              <w:left w:w="100" w:type="dxa"/>
              <w:right w:w="100" w:type="dxa"/>
            </w:tcMar>
          </w:tcPr>
          <w:p>
            <w:r>
              <w:rPr>
                <w:sz w:val="17"/>
              </w:rPr>
              <w:t>EDA, Feature Engineering &amp; Hyperparameter Search</w:t>
            </w:r>
          </w:p>
        </w:tc>
        <w:tc>
          <w:tcPr>
            <w:tcW w:type="dxa" w:w="1872"/>
            <w:tcMar>
              <w:top w:w="60" w:type="dxa"/>
              <w:bottom w:w="60" w:type="dxa"/>
              <w:left w:w="100" w:type="dxa"/>
              <w:right w:w="100" w:type="dxa"/>
            </w:tcMar>
          </w:tcPr>
          <w:p>
            <w:r>
              <w:rPr>
                <w:sz w:val="17"/>
              </w:rPr>
              <w:t>25%</w:t>
            </w:r>
          </w:p>
        </w:tc>
      </w:tr>
      <w:tr>
        <w:tc>
          <w:tcPr>
            <w:tcW w:type="dxa" w:w="1872"/>
            <w:tcMar>
              <w:top w:w="60" w:type="dxa"/>
              <w:bottom w:w="60" w:type="dxa"/>
              <w:left w:w="100" w:type="dxa"/>
              <w:right w:w="100" w:type="dxa"/>
            </w:tcMar>
          </w:tcPr>
          <w:p>
            <w:r>
              <w:rPr>
                <w:sz w:val="17"/>
              </w:rPr>
              <w:t>4</w:t>
            </w:r>
          </w:p>
        </w:tc>
        <w:tc>
          <w:tcPr>
            <w:tcW w:type="dxa" w:w="1872"/>
            <w:tcMar>
              <w:top w:w="60" w:type="dxa"/>
              <w:bottom w:w="60" w:type="dxa"/>
              <w:left w:w="100" w:type="dxa"/>
              <w:right w:w="100" w:type="dxa"/>
            </w:tcMar>
          </w:tcPr>
          <w:p>
            <w:r>
              <w:rPr>
                <w:sz w:val="17"/>
              </w:rPr>
              <w:t>Priti Rani Maity</w:t>
            </w:r>
          </w:p>
        </w:tc>
        <w:tc>
          <w:tcPr>
            <w:tcW w:type="dxa" w:w="1872"/>
            <w:tcMar>
              <w:top w:w="60" w:type="dxa"/>
              <w:bottom w:w="60" w:type="dxa"/>
              <w:left w:w="100" w:type="dxa"/>
              <w:right w:w="100" w:type="dxa"/>
            </w:tcMar>
          </w:tcPr>
          <w:p>
            <w:r>
              <w:rPr>
                <w:sz w:val="17"/>
              </w:rPr>
              <w:t>2341013065</w:t>
            </w:r>
          </w:p>
        </w:tc>
        <w:tc>
          <w:tcPr>
            <w:tcW w:type="dxa" w:w="1872"/>
            <w:tcMar>
              <w:top w:w="60" w:type="dxa"/>
              <w:bottom w:w="60" w:type="dxa"/>
              <w:left w:w="100" w:type="dxa"/>
              <w:right w:w="100" w:type="dxa"/>
            </w:tcMar>
          </w:tcPr>
          <w:p>
            <w:r>
              <w:rPr>
                <w:sz w:val="17"/>
              </w:rPr>
              <w:t>Model Evaluation, Web Deployment &amp; Report Preparation</w:t>
            </w:r>
          </w:p>
        </w:tc>
        <w:tc>
          <w:tcPr>
            <w:tcW w:type="dxa" w:w="1872"/>
            <w:tcMar>
              <w:top w:w="60" w:type="dxa"/>
              <w:bottom w:w="60" w:type="dxa"/>
              <w:left w:w="100" w:type="dxa"/>
              <w:right w:w="100" w:type="dxa"/>
            </w:tcMar>
          </w:tcPr>
          <w:p>
            <w:r>
              <w:rPr>
                <w:sz w:val="17"/>
              </w:rPr>
              <w:t>25%</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