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03">
      <w:pPr>
        <w:jc w:val="both"/>
        <w:rPr>
          <w:rFonts w:ascii="Quattrocento Sans" w:cs="Quattrocento Sans" w:eastAsia="Quattrocento Sans" w:hAnsi="Quattrocento Sans"/>
          <w:b w:val="1"/>
          <w:bCs w:val="1"/>
        </w:rPr>
      </w:pPr>
      <w:bookmarkStart w:colFirst="0" w:colLast="0" w:name="_heading=h.gjdgxs" w:id="0"/>
      <w:bookmarkEnd w:id="0"/>
      <w:r w:rsidDel="00000000" w:rsidR="00000000" w:rsidRPr="00000000">
        <w:rPr>
          <w:rFonts w:ascii="Quattrocento Sans" w:cs="Quattrocento Sans" w:eastAsia="Quattrocento Sans" w:hAnsi="Quattrocento Sans"/>
          <w:b w:val="1"/>
          <w:bCs w:val="1"/>
          <w:rtl w:val="0"/>
        </w:rPr>
        <w:t xml:space="preserve">+++INS juizo_intercorrente+++</w:t>
      </w:r>
    </w:p>
    <w:p w:rsidR="00000000" w:rsidDel="00000000" w:rsidP="00000000" w:rsidRDefault="00000000" w:rsidRPr="00000000" w14:paraId="00000004">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5">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6">
      <w:pPr>
        <w:jc w:val="both"/>
        <w:rPr>
          <w:rFonts w:ascii="Quattrocento Sans" w:cs="Quattrocento Sans" w:eastAsia="Quattrocento Sans" w:hAnsi="Quattrocento Sans"/>
          <w:b w:val="1"/>
          <w:bCs w:val="1"/>
          <w:i w:val="1"/>
          <w:iCs w:val="1"/>
          <w:highlight w:val="yellow"/>
        </w:rPr>
      </w:pPr>
      <w:r w:rsidDel="00000000" w:rsidR="00000000" w:rsidRPr="00000000">
        <w:rPr>
          <w:rFonts w:ascii="Quattrocento Sans" w:cs="Quattrocento Sans" w:eastAsia="Quattrocento Sans" w:hAnsi="Quattrocento Sans"/>
          <w:b w:val="1"/>
          <w:bCs w:val="1"/>
          <w:i w:val="1"/>
          <w:iCs w:val="1"/>
          <w:rtl w:val="0"/>
        </w:rPr>
        <w:t xml:space="preserve">Execução Fiscal n.º +++INS processo_numero+++</w:t>
      </w:r>
      <w:r w:rsidDel="00000000" w:rsidR="00000000" w:rsidRPr="00000000">
        <w:rPr>
          <w:rtl w:val="0"/>
        </w:rPr>
      </w:r>
    </w:p>
    <w:p w:rsidR="00000000" w:rsidDel="00000000" w:rsidP="00000000" w:rsidRDefault="00000000" w:rsidRPr="00000000" w14:paraId="00000007">
      <w:pPr>
        <w:jc w:val="both"/>
        <w:rPr>
          <w:rFonts w:ascii="Quattrocento Sans" w:cs="Quattrocento Sans" w:eastAsia="Quattrocento Sans" w:hAnsi="Quattrocento Sans"/>
          <w:b w:val="1"/>
          <w:bCs w:val="1"/>
        </w:rPr>
      </w:pPr>
      <w:r w:rsidDel="00000000" w:rsidR="00000000" w:rsidRPr="00000000">
        <w:rPr>
          <w:rtl w:val="0"/>
        </w:rPr>
      </w:r>
    </w:p>
    <w:p>
      <w:pPr>
        <w:spacing w:after="0" w:lineRule="auto"/>
        <w:jc w:val="both"/>
        <w:rPr>
          <w:rFonts w:ascii="Quattrocento Sans" w:cs="Quattrocento Sans" w:eastAsia="Quattrocento Sans" w:hAnsi="Quattrocento Sans"/>
        </w:rPr>
      </w:pPr>
      <w:r>
        <w:rPr>
          <w:rFonts w:ascii="Quattrocento Sans" w:cs="Quattrocento Sans" w:eastAsia="Quattrocento Sans" w:hAnsi="Quattrocento Sans"/>
          <w:b/>
          <w:bCs/>
          <w:rtl w:val="0"/>
        </w:rPr>
        <w:t xml:space="preserve">+++INS executado_nome+++</w:t>
      </w:r>
      <w:r>
        <w:rPr>
          <w:rFonts w:ascii="Quattrocento Sans" w:cs="Quattrocento Sans" w:eastAsia="Quattrocento Sans" w:hAnsi="Quattrocento Sans"/>
          <w:rtl w:val="0"/>
        </w:rPr>
        <w:t xml:space="preserve">, já devidamente qualificado(a) nos autos em epígrafe, por intermédio de +++INS tratamento_procurador+++ que esta +++INS subscreve_concord+++, +++INS constituido_concord+++ mediante instrumento de mandato anexo (Doc. +++INS doc_mandato+++), vem, respeitosamente, a Vossa Excelência, opor a presente </w:t>
      </w:r>
    </w:p>
    <w:p w:rsidR="00000000" w:rsidDel="00000000" w:rsidP="00000000" w:rsidRDefault="00000000" w:rsidRPr="00000000" w14:paraId="00000009">
      <w:pPr>
        <w:jc w:val="both"/>
        <w:rPr>
          <w:rFonts w:ascii="Quattrocento Sans" w:cs="Quattrocento Sans" w:eastAsia="Quattrocento Sans" w:hAnsi="Quattrocento Sans"/>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-5153</wp:posOffset>
                </wp:positionH>
                <wp:positionV relativeFrom="paragraph">
                  <wp:posOffset>186161</wp:posOffset>
                </wp:positionV>
                <wp:extent cx="5643636" cy="394335"/>
                <wp:effectExtent b="0" l="0" r="0" t="0"/>
                <wp:wrapNone/>
                <wp:docPr id="2061165517" name=""/>
                <a:graphic>
                  <a:graphicData uri="http://schemas.microsoft.com/office/word/2010/wordprocessingShape">
                    <wps:wsp>
                      <wps:cNvSpPr/>
                      <wps:cNvPr id="27" name="Shape 27"/>
                      <wps:spPr>
                        <a:xfrm>
                          <a:off x="2528945" y="3587595"/>
                          <a:ext cx="5634111" cy="384810"/>
                        </a:xfrm>
                        <a:prstGeom prst="roundRect">
                          <a:avLst>
                            <a:gd fmla="val 16667" name="adj"/>
                          </a:avLst>
                        </a:prstGeom>
                        <a:solidFill>
                          <a:srgbClr val="7B7B7B"/>
                        </a:solidFill>
                        <a:ln>
                          <a:noFill/>
                        </a:ln>
                      </wps:spPr>
                      <wps:txbx>
                        <w:txbxContent>
                          <w:p w:rsidR="00000000" w:rsidDel="00000000" w:rsidP="00000000" w:rsidRDefault="00000000" w:rsidRPr="00000000">
                            <w:pPr>
                              <w:spacing w:after="160" w:before="0" w:line="300"/>
                              <w:ind w:left="0" w:right="0" w:firstLine="0"/>
                              <w:jc w:val="lef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-5153</wp:posOffset>
                </wp:positionH>
                <wp:positionV relativeFrom="paragraph">
                  <wp:posOffset>186161</wp:posOffset>
                </wp:positionV>
                <wp:extent cx="5643636" cy="394335"/>
                <wp:effectExtent b="0" l="0" r="0" t="0"/>
                <wp:wrapNone/>
                <wp:docPr id="2061165517"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643636" cy="394335"/>
                        </a:xfrm>
                        <a:prstGeom prst="rect"/>
                        <a:ln/>
                      </pic:spPr>
                    </pic:pic>
                  </a:graphicData>
                </a:graphic>
              </wp:anchor>
            </w:drawing>
          </mc:Fallback>
        </mc:AlternateContent>
      </w:r>
    </w:p>
    <w:p w:rsidR="00000000" w:rsidDel="00000000" w:rsidP="00000000" w:rsidRDefault="00000000" w:rsidRPr="00000000" w14:paraId="0000000A">
      <w:pPr>
        <w:jc w:val="center"/>
        <w:rPr>
          <w:rFonts w:ascii="Quattrocento Sans" w:cs="Quattrocento Sans" w:eastAsia="Quattrocento Sans" w:hAnsi="Quattrocento Sans"/>
          <w:b w:val="1"/>
          <w:bCs w:val="1"/>
          <w:color w:val="ffffff"/>
        </w:rPr>
      </w:pPr>
      <w:r w:rsidDel="00000000" w:rsidR="00000000" w:rsidRPr="00000000">
        <w:rPr>
          <w:rFonts w:ascii="Quattrocento Sans" w:cs="Quattrocento Sans" w:eastAsia="Quattrocento Sans" w:hAnsi="Quattrocento Sans"/>
          <w:b w:val="1"/>
          <w:bCs w:val="1"/>
          <w:color w:val="ffffff"/>
          <w:rtl w:val="0"/>
        </w:rPr>
        <w:t xml:space="preserve">EXCEÇÃO DE PRÉ-EXECUTIVIDADE</w:t>
      </w:r>
    </w:p>
    <w:p w:rsidR="00000000" w:rsidDel="00000000" w:rsidP="00000000" w:rsidRDefault="00000000" w:rsidRPr="00000000" w14:paraId="0000000B">
      <w:pPr>
        <w:spacing w:before="24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em razão dos fatos e fundamentos que doravante serão expostos. </w:t>
      </w:r>
    </w:p>
    <w:p w:rsidR="00000000" w:rsidDel="00000000" w:rsidP="00000000" w:rsidRDefault="00000000" w:rsidRPr="00000000" w14:paraId="0000000C">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D">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PRELIMINARMENTE</w:t>
      </w:r>
    </w:p>
    <w:p w:rsidR="00000000" w:rsidDel="00000000" w:rsidP="00000000" w:rsidRDefault="00000000" w:rsidRPr="00000000" w14:paraId="0000000E">
      <w:pPr>
        <w:spacing w:after="0" w:line="240" w:lineRule="auto"/>
        <w:jc w:val="both"/>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i w:val="1"/>
          <w:iCs w:val="1"/>
          <w:rtl w:val="0"/>
        </w:rPr>
        <w:t xml:space="preserve">Quadro sinóptico</w:t>
      </w:r>
    </w:p>
    <w:p w:rsidR="00000000" w:rsidDel="00000000" w:rsidP="00000000" w:rsidRDefault="00000000" w:rsidRPr="00000000" w14:paraId="0000000F">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300" w:lineRule="auto"/>
        <w:ind w:left="0" w:right="0"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 o escopo de conferir celeridade à cognição judicial e evidenciar a patente causa extintiva do crédito tributário exequendo, sintetizam-se as teses basilares que fundamentam este pleito no quadro sinóptico a seguir:</w:t>
      </w:r>
    </w:p>
    <w:tbl>
      <w:tblPr>
        <w:tblW w:w="9000" w:type="dxa"/>
        <w:jc w:val="lef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Look w:val="0000"/>
      </w:tblPr>
      <w:tblGrid>
        <w:gridCol w:w="3200"/>
        <w:gridCol w:w="5800"/>
      </w:tblGrid>
      <w:tr>
        <w:trPr>
          <w:cantSplit/>
          <w:tblHeader/>
        </w:trPr>
        <w:tc>
          <w:tcPr>
            <w:tcW w:w="32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Tese</w:t>
            </w:r>
          </w:p>
        </w:tc>
        <w:tc>
          <w:tcPr>
            <w:tcW w:w="58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Fundamento</w:t>
            </w:r>
          </w:p>
        </w:tc>
      </w:tr>
      <w:tr>
        <w:trPr>
          <w:cantSplit/>
        </w:trPr>
        <w:tc>
          <w:tcPr>
            <w:tcW w:w="3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Prescrição intercorrente consumada</w:t>
            </w:r>
          </w:p>
        </w:tc>
        <w:tc>
          <w:tcPr>
            <w:tcW w:w="58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Art. 40, §§ 1º a 4º, da Lei nº 6.830/1980; art. 156, V, do CTN; Súmula 314/STJ</w:t>
            </w:r>
          </w:p>
        </w:tc>
      </w:tr>
      <w:tr>
        <w:trPr>
          <w:cantSplit/>
        </w:trPr>
        <w:tc>
          <w:tcPr>
            <w:tcW w:w="3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Início automático dos prazos, independentemente de decisão judicial</w:t>
            </w:r>
          </w:p>
        </w:tc>
        <w:tc>
          <w:tcPr>
            <w:tcW w:w="58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REsp 1.340.553/RS (Temas 566 a 571/STJ); RE 636.562/SC (Tema 390/STF)</w:t>
            </w:r>
          </w:p>
        </w:tc>
      </w:tr>
      <w:tr>
        <w:trPr>
          <w:cantSplit/>
        </w:trPr>
        <w:tc>
          <w:tcPr>
            <w:tcW w:w="3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Ausência de citação e de constrição patrimonial efetiva no período</w:t>
            </w:r>
          </w:p>
        </w:tc>
        <w:tc>
          <w:tcPr>
            <w:tcW w:w="58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REsp 1.340.553/RS</w:t>
            </w:r>
          </w:p>
        </w:tc>
      </w:tr>
      <w:tr>
        <w:trPr>
          <w:cantSplit/>
        </w:trPr>
        <w:tc>
          <w:tcPr>
            <w:tcW w:w="3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Matéria de ordem pública, cognoscível de ofício</w:t>
            </w:r>
          </w:p>
        </w:tc>
        <w:tc>
          <w:tcPr>
            <w:tcW w:w="58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Art. 40, § 4º, da LEF; art. 803, parágrafo único, do CPC; Súmula 393/STJ</w:t>
            </w:r>
          </w:p>
        </w:tc>
      </w:tr>
    </w:tbl>
    <w:p w:rsidR="00000000" w:rsidDel="00000000" w:rsidP="00000000" w:rsidRDefault="00000000" w:rsidRPr="00000000" w14:paraId="00000019">
      <w:pPr>
        <w:pStyle w:val="Heading3"/>
        <w:keepNext w:val="0"/>
        <w:keepLines w:val="0"/>
        <w:spacing w:after="120" w:before="240" w:line="276" w:lineRule="auto"/>
        <w:rPr>
          <w:rFonts w:ascii="Quattrocento Sans" w:cs="Quattrocento Sans" w:eastAsia="Quattrocento Sans" w:hAnsi="Quattrocento Sans"/>
          <w:color w:val="c47678"/>
          <w:sz w:val="22"/>
          <w:szCs w:val="22"/>
        </w:rPr>
      </w:pPr>
      <w:bookmarkStart w:colFirst="0" w:colLast="0" w:name="_heading=h.es69hcpjbwra" w:id="1"/>
      <w:bookmarkEnd w:id="1"/>
      <w:r w:rsidDel="00000000" w:rsidR="00000000" w:rsidRPr="00000000">
        <w:rPr>
          <w:rtl w:val="0"/>
        </w:rPr>
      </w:r>
    </w:p>
    <w:p w:rsidR="00000000" w:rsidDel="00000000" w:rsidP="00000000" w:rsidRDefault="00000000" w:rsidRPr="00000000" w14:paraId="0000001A">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1B">
      <w:pPr>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DOS FATOS </w:t>
        <w:tab/>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Trata-se de execução fiscal ajuizada em </w:t>
      </w:r>
      <w:r>
        <w:rPr>
          <w:rFonts w:ascii="Quattrocento Sans" w:cs="Quattrocento Sans" w:eastAsia="Quattrocento Sans" w:hAnsi="Quattrocento Sans"/>
          <w:b/>
          <w:bCs/>
          <w:rtl w:val="0"/>
        </w:rPr>
        <w:t xml:space="preserve">+++INS data_ajuizamento+++</w:t>
      </w:r>
      <w:r>
        <w:rPr>
          <w:rFonts w:ascii="Quattrocento Sans" w:cs="Quattrocento Sans" w:eastAsia="Quattrocento Sans" w:hAnsi="Quattrocento Sans"/>
          <w:rtl w:val="0"/>
        </w:rPr>
        <w:t xml:space="preserve"> pela +++INS exequente+++ em desfavor de +++INS executado_nome+++, para cobrança do crédito tributário materializado na(s) Certidão(ões) de Dívida Ativa nº +++INS cdas_lista+++.</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No curso do processo, a Fazenda Pública tomou ciência, em </w:t>
      </w:r>
      <w:r>
        <w:rPr>
          <w:rFonts w:ascii="Quattrocento Sans" w:cs="Quattrocento Sans" w:eastAsia="Quattrocento Sans" w:hAnsi="Quattrocento Sans"/>
          <w:b/>
          <w:bCs/>
          <w:rtl w:val="0"/>
        </w:rPr>
        <w:t xml:space="preserve">+++INS data_intimacao+++</w:t>
      </w:r>
      <w:r>
        <w:rPr>
          <w:rFonts w:ascii="Quattrocento Sans" w:cs="Quattrocento Sans" w:eastAsia="Quattrocento Sans" w:hAnsi="Quattrocento Sans"/>
          <w:rtl w:val="0"/>
        </w:rPr>
        <w:t xml:space="preserve">, da não localização +++INS objeto_nao_localizado+++, conforme +++INS fonte_intimacao+++. A partir de então, transcorreu o prazo de 1 (um) ano de suspensão do processo, encerrado em </w:t>
      </w:r>
      <w:r>
        <w:rPr>
          <w:rFonts w:ascii="Quattrocento Sans" w:cs="Quattrocento Sans" w:eastAsia="Quattrocento Sans" w:hAnsi="Quattrocento Sans"/>
          <w:b/>
          <w:bCs/>
          <w:rtl w:val="0"/>
        </w:rPr>
        <w:t xml:space="preserve">+++INS data_fim_suspensao+++</w:t>
      </w:r>
      <w:r>
        <w:rPr>
          <w:rFonts w:ascii="Quattrocento Sans" w:cs="Quattrocento Sans" w:eastAsia="Quattrocento Sans" w:hAnsi="Quattrocento Sans"/>
          <w:rtl w:val="0"/>
        </w:rPr>
        <w:t xml:space="preserve">, iniciando-se automaticamente o prazo prescricional quinquenal, que se consumou em </w:t>
      </w:r>
      <w:r>
        <w:rPr>
          <w:rFonts w:ascii="Quattrocento Sans" w:cs="Quattrocento Sans" w:eastAsia="Quattrocento Sans" w:hAnsi="Quattrocento Sans"/>
          <w:b/>
          <w:bCs/>
          <w:rtl w:val="0"/>
        </w:rPr>
        <w:t xml:space="preserve">+++INS data_prazo_final+++</w:t>
      </w:r>
      <w:r>
        <w:rPr>
          <w:rFonts w:ascii="Quattrocento Sans" w:cs="Quattrocento Sans" w:eastAsia="Quattrocento Sans" w:hAnsi="Quattrocento Sans"/>
          <w:rtl w:val="0"/>
        </w:rPr>
        <w:t xml:space="preserve">, sem que houvesse, nesse interregno, citação ou constrição patrimonial efetiva apta a interrompê-lo.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Impõe-se, assim, o reconhecimento da prescrição intercorrente e a extinção da execução, </w:t>
      </w:r>
      <w:r>
        <w:rPr>
          <w:rFonts w:ascii="Quattrocento Sans" w:cs="Quattrocento Sans" w:eastAsia="Quattrocento Sans" w:hAnsi="Quattrocento Sans"/>
          <w:b/>
          <w:bCs/>
          <w:rtl w:val="0"/>
        </w:rPr>
        <w:t xml:space="preserve">nos termos do art. 40, § 4º, da Lei nº 6.830/1980 e do art. 156, V, do CTN.</w:t>
      </w:r>
    </w:p>
    <w:p w:rsidR="00000000" w:rsidDel="00000000" w:rsidP="00000000" w:rsidRDefault="00000000" w:rsidRPr="00000000" w14:paraId="0000001E">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É o que se passa a demonstrar.</w:t>
      </w:r>
    </w:p>
    <w:p w:rsidR="00000000" w:rsidDel="00000000" w:rsidP="00000000" w:rsidRDefault="00000000" w:rsidRPr="00000000" w14:paraId="0000001F">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20">
      <w:pPr>
        <w:spacing w:after="0" w:line="24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 CABIMENTO DA PRESENTE EXCEÇÃO DE PRÉ-EXECUTIVIDADE</w:t>
      </w:r>
      <w:r w:rsidDel="00000000" w:rsidR="00000000" w:rsidRPr="00000000">
        <w:pict>
          <v:shape id="Tinta 2" style="position:absolute;left:0;text-align:left;margin-left:379.9pt;margin-top:53.5pt;width:0;height:0;z-index:251664896;visibility:visible;mso-wrap-style:square;mso-width-percent:0;mso-height-percent:0;mso-wrap-distance-left:3.42497mm;mso-wrap-distance-top:.24997mm;mso-wrap-distance-right:3.42497mm;mso-wrap-distance-bottom:.24997mm;mso-position-horizontal:absolute;mso-position-horizontal-relative:margin;mso-position-vertical:absolute;mso-position-vertical-relative:text;mso-width-percent:0;mso-height-percent:0;mso-width-relative:page;mso-height-relative:page" o:spid="_x0000_s1027"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BuhpCWHAQAAbwMAAA4AAABkcnMvZTJvRG9jLnhtbJxTXWvCMBR9H+w/ &#10;hLzPWpExiq0MZSDsw4ftB8Q0scEmN9ykVv/90taq042BL4F7Lz33nHtOJ9OdLslWoFNgUhoPhpQI &#10;wyFXZp3Sr8+XhydKnGcmZyUYkdK9cHSa3d9NapuIERRQ5gJJADEuqW1KC+9tEkWOF0IzNwArTBhK &#10;QM18KHEd5cjqgK7LaDQcPkY1YG4RuHAudOfdkGYtvpSC+w8pnfCkTGng5tsX23fVvFE2YckamS0U &#10;P9BgN7DQTJmw9Ag1Z56RCtUVlFYcwYH0Aw46AikVF62GoCYeXqhZmE2jJB7zChMOxgvjlwx9f692 &#10;cMsKXVKyqt8gD46wygM9IIbD/G9AR3oOvNKBT+cCipL5EAFXKOsowUTlKcVFHp/4m+3spGCJJ13v &#10;lwMWjxNuX4FvXG9JPL5i9uslD+HojtmaQgzMCmbW4tnZkIaQ0cbzqD/q1fJ+8hfdnUTdGB2uQHZt &#10;jvbHHImdJ7xr8r7b43Xf9dWZmYHMj9ic1w3Rs/8k+wYAAP//AwBQSwMEFAAGAAgAAAAhAJ5kEIMQ &#10;AgAAEgUAABAAAABkcnMvaW5rL2luazEueG1stFNRb5swEH6ftP9geQ97CWAbCAGV9GmRJm3S1HbS &#10;+kjBDVbBRMaE5N/vsImTqqn6sgmJs8933919/nxze2gbtOeqF53MMfUJRlyWXSXkNse/HzbeCqNe &#10;F7Iqmk7yHB95j2/Xnz/dCPnSNhn8ESDIflq1TY5rrXdZEIzj6I+h36ltwAgJg+/y5ecPvJ6zKv4s &#10;pNBQsj+5yk5qftATWCaqHJf6QFw8YN93gyq5O548qjxHaFWUfNOpttAOsS6k5A2SRQt9/8FIH3ew &#10;EFBnyxVGrYCBPebTKIlW31JwFIccX+wHaLGHTlocXMd8/A+Ym7eYU1shS5YJRnNLFd9PPQWG8+z9 &#10;2X+pbseVFvxMsyVlPjii0u4NP5YoxfuuGaa7wWhfNANQRgkBWcy1aXCFkLd4wM0/xQNe3sW7bO41 &#10;NfN4lzzMpDlJna5Wi5aD0Nud05juAXhy32tlngMjLPII82j6QNMsWmYs9hOWXlzFrOIT5pMa+trh &#10;PamzXs2JY81ONopK14504pMoTZnj/ZL1a9k1F9taf5A+D2/ynX6uvEYjKTRPc8efc/zFPEhkMq3D &#10;jEMRRQmjy8VXAh9NY7LABD5vydiCIOKtlrGxcRgZGxHrD0M67dHK/EHexrIkNJYSE42i1B7bHbMp &#10;FsDCzUWmKI8SA+ZF1No4saXD2IB6jBIbF7Pw1dtxTIAo1n8BAAD//wMAUEsDBBQABgAIAAAAIQAA &#10;IefD3gAAABABAAAPAAAAZHJzL2Rvd25yZXYueG1sTE9NS8NAEL0L/odlBG92N4JW02xKsfTiQWgb &#10;8brJjpvQ7GzIbtv03zuioJeBeW/mfRTLyffihGPsAmnIZgoEUhNsR05Dtd/cPYGIyZA1fSDUcMEI &#10;y/L6qjC5DWfa4mmXnGARirnR0KY05FLGpkVv4iwMSMx9htGbxOvopB3NmcV9L++VepTedMQOrRnw &#10;pcXmsDt6DR+H7NW7N7xUW1X5983aZXVYaX17M60XPFYLEAmn9PcB3x04P5QcrA5HslH0GuYPz5w/ &#10;MaHm3IwvfpD6F5FlIf8XKb8AAAD//wMAUEsDBBQABgAIAAAAIQB5GLydvwAAACEBAAAZAAAAZHJz &#10;L19yZWxzL2Uyb0RvYy54bWwucmVsc4TPsWrEMAwG4L3QdzDaGyUdylHiZDkOspYUbjWOkpjEsrGc &#10;0nv7euzBwQ0ahND3S23/63f1Q0lcYA1NVYMitmFyvGj4Hi9vJ1CSDU9mD0wabiTQd68v7RftJpcl &#10;WV0UVRQWDWvO8RNR7EreSBUicZnMIXmTS5sWjMZuZiF8r+sPTP8N6O5MNUwa0jA1oMZbLMnP7TDP &#10;ztI52MMT5wcRaA/JwV/9XlCTFsoaHG9YqqnKoYBdi3ePdX8AAAD//wMAUEsBAi0AFAAGAAgAAAAh &#10;AJszJzcMAQAALQIAABMAAAAAAAAAAAAAAAAAAAAAAFtDb250ZW50X1R5cGVzXS54bWxQSwECLQAU &#10;AAYACAAAACEAOP0h/9YAAACUAQAACwAAAAAAAAAAAAAAAAA9AQAAX3JlbHMvLnJlbHNQSwECLQAU &#10;AAYACAAAACEAG6GkJYcBAABvAwAADgAAAAAAAAAAAAAAAAA8AgAAZHJzL2Uyb0RvYy54bWxQSwEC &#10;LQAUAAYACAAAACEAnmQQgxACAAASBQAAEAAAAAAAAAAAAAAAAADvAwAAZHJzL2luay9pbmsxLnht &#10;bFBLAQItABQABgAIAAAAIQAAIefD3gAAABABAAAPAAAAAAAAAAAAAAAAAC0GAABkcnMvZG93bnJl &#10;di54bWxQSwECLQAUAAYACAAAACEAeRi8nb8AAAAhAQAAGQAAAAAAAAAAAAAAAAA4BwAAZHJzL19y &#10;ZWxzL2Uyb0RvYy54bWwucmVsc1BLBQYAAAAABgAGAHgBAAAuCAAAAAA= &#10;">
            <v:imagedata r:id="rId1" o:title=""/>
            <w10:wrap/>
          </v:shape>
        </w:pict>
      </w:r>
      <w:r w:rsidDel="00000000" w:rsidR="00000000" w:rsidRPr="00000000">
        <w:pict>
          <v:shape id="Tinta 1" style="position:absolute;left:0;text-align:left;margin-left:380.0pt;margin-top:43.95pt;width:1.75pt;height:1.1pt;z-index:251665920;visibility:visible;mso-wrap-style:square;mso-width-percent:0;mso-height-percent:0;mso-wrap-distance-left:3.65844mm;mso-wrap-distance-top:.51458mm;mso-wrap-distance-right:3.65039mm;mso-wrap-distance-bottom:.50872mm;mso-position-horizontal:absolute;mso-position-horizontal-relative:margin;mso-position-vertical:absolute;mso-position-vertical-relative:text;mso-width-percent:0;mso-height-percent:0;mso-width-relative:page;mso-height-relative:page"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B0ORP2iAQAAgQMAAA4AAABkcnMvZTJvRG9jLnhtbJxT0U7jMBB8R+If &#10;LL/TJCUtEDVFiAoJ6e7gAT7AOHZjEXuttUvK398maWihnE7iJZJ35PHszGRxvbUNe1MYDLiSZ5OU &#10;M+UkVMatS/78dHd2yVmIwlWiAadK/q4Cv16enixaX6gp1NBUChmRuFC0vuR1jL5IkiBrZUWYgFeO &#10;QA1oRaQjrpMKRUvstkmmaTpPWsDKI0gVAk1XA8iXPb/WSsYHrYOKrCn5ZZ7mnMWSz89npBNpks6v &#10;OHuhSXo158lyIYo1Cl8buZMkfqDICuNIwAfVSkTBNmiOqKyRCAF0nEiwCWhtpOr3oc2y9Mtm9+61 &#10;2yrL5QYLCS4qFx8FxtG7HvjJE7YhB9rfUFE6YhOB7xjJnv+HMYhegdxY0jMkgqoRkeoQauMD2VyY &#10;quR4X2V7/e7tdr/BI+73+vMVEFleSP8L5GsYI8nyI2XfOrkrymBmHwpzcFsLt1Y3wVMzqK9d5slo &#10;6tHjI/IvuVuNtguaXGDbklOn3rtv3yO1jUzScHaRzTiTBGTTix4bWYfb4+kgUpL0qTyH507uwZ+z &#10;/AsAAP//AwBQSwMEFAAGAAgAAAAhAEiNI3UhAgAAQwUAABAAAABkcnMvaW5rL2luazEueG1stFPJ &#10;btswEL0X6D8Q7KEXy+JmbYicUw0UaIEiSYH2qEiMRUSiDIpe8vcdkbKsIE5PLQSInO1x5vHx5vbU &#10;NuggTa86nWO6JBhJXXaV0tsc/3zYBAlGvS10VTSdljl+kT2+XX/8cKP0c9tk8EeAoPth1zY5rq3d &#10;ZWF4PB6XR77szDZkhPDwq37+/g2vx6pKPimtLBzZn11lp6082QEsU1WOS3siUz5g33d7U8opPHhM &#10;ecmwpijlpjNtYSfEutBaNkgXLfT9CyP7soONgnO20mDUKhg4YEsqYpF8ScFRnHI8s/fQYg+dtDi8 &#10;jvn7P2Bu3mIObXEWRzFGY0uVPAw9hY7z7P3Zf5huJ41V8kKzJ2UMvKDS244fT5SRfdfsh7vB6FA0 &#10;e6CMEgKyGM+m4RVC3uIBN/8UD3h5F2/e3GtqxvHmPIykTZI6X61VrQSht7tJY7YH4MF9b417Doww &#10;ERAW0PSBppmIMhaDepLZVYwqPmM+mn1fT3iP5qJXF5lY85MdVWXriXSyJKuJ9Dnl10prqba1/Vvt &#10;OLYrnpRz5R06MaFxjjv5lONP7ikiV+kdbhCKBKJxyhafCXyCpgtM4IvTBUEEItytCRkWYMwtK+cM &#10;Iu9MIudMY794i3IfTMWsEEVssFDkUpHwFvWZPHGZwtfz8aSVd1K3rHwKG7EF9W5GfRbjDjDg3NmI &#10;Ur7g0HUsFpQEIqBsFb96bBOBoKL1HwAAAP//AwBQSwMEFAAGAAgAAAAhAOdQmR3lAAAADgEAAA8A &#10;AABkcnMvZG93bnJldi54bWxMj09Pg0AQxe8mfofNmHgx7S5qoVCGxrb2bKSaeNzCCOj+Iey20G/v &#10;etLLJC8z89775etJK3amwXXWIERzAYxMZevONAhvh/1sCcx5aWqprCGECzlYF9dXucxqO5pXOpe+ &#10;YcHEuEwitN73GeeuaklLN7c9mbD7tIOWPsih4fUgx2CuFb8XIuZadiYktLKnbUvVd3nSCG5XPt69 &#10;bFR6SbbP48fmq4/4+wLx9mbarcJ4WgHzNPm/D/hlCP2hCMWO9mRqxxRCEosA5BGWSQosHCTxwwLY &#10;ESEVEfAi5/8xih8AAAD//wMAUEsDBBQABgAIAAAAIQB5GLydvwAAACEBAAAZAAAAZHJzL19yZWxz &#10;L2Uyb0RvYy54bWwucmVsc4TPsWrEMAwG4L3QdzDaGyUdylHiZDkOspYUbjWOkpjEsrGc0nv7euzB &#10;wQ0ahND3S23/63f1Q0lcYA1NVYMitmFyvGj4Hi9vJ1CSDU9mD0wabiTQd68v7RftJpclWV0UVRQW &#10;DWvO8RNR7EreSBUicZnMIXmTS5sWjMZuZiF8r+sPTP8N6O5MNUwa0jA1oMZbLMnP7TDPztI52MMT &#10;5wcRaA/JwV/9XlCTFsoaHG9YqqnKoYBdi3ePdX8AAAD//wMAUEsBAi0AFAAGAAgAAAAhAJszJzcM &#10;AQAALQIAABMAAAAAAAAAAAAAAAAAAAAAAFtDb250ZW50X1R5cGVzXS54bWxQSwECLQAUAAYACAAA &#10;ACEAOP0h/9YAAACUAQAACwAAAAAAAAAAAAAAAAA9AQAAX3JlbHMvLnJlbHNQSwECLQAUAAYACAAA &#10;ACEAHQ5E/aIBAACBAwAADgAAAAAAAAAAAAAAAAA8AgAAZHJzL2Uyb0RvYy54bWxQSwECLQAUAAYA &#10;CAAAACEASI0jdSECAABDBQAAEAAAAAAAAAAAAAAAAAAKBAAAZHJzL2luay9pbmsxLnhtbFBLAQIt &#10;ABQABgAIAAAAIQDnUJkd5QAAAA4BAAAPAAAAAAAAAAAAAAAAAFkGAABkcnMvZG93bnJldi54bWxQ &#10;SwECLQAUAAYACAAAACEAeRi8nb8AAAAhAQAAGQAAAAAAAAAAAAAAAABrBwAAZHJzL19yZWxzL2Uy &#10;b0RvYy54bWwucmVsc1BLBQYAAAAABgAGAHgBAABhCAAAAAA= &#10;">
            <v:imagedata r:id="rId2" o:title=""/>
            <w10:wrap/>
          </v:shape>
        </w:pict>
      </w:r>
    </w:p>
    <w:p w:rsidR="00000000" w:rsidDel="00000000" w:rsidP="00000000" w:rsidRDefault="00000000" w:rsidRPr="00000000" w14:paraId="00000021">
      <w:pPr>
        <w:spacing w:line="24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1"/>
          <w:iCs w:val="1"/>
          <w:rtl w:val="0"/>
        </w:rPr>
        <w:t xml:space="preserve">Defesa do executado amparada pela doutrina e jurisprudência</w:t>
      </w: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22">
      <w:pPr>
        <w:jc w:val="both"/>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23">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exceção de pré-executividade consubstancia mecanismo de defesa do executado que prescinde de segurança prévia, revelando-se como instrumento de justiça desenvolvido pela doutrina e pela jurisprudência e de aceitação pacífica no ordenamento jurídico. </w:t>
      </w:r>
    </w:p>
    <w:p w:rsidR="00000000" w:rsidDel="00000000" w:rsidP="00000000" w:rsidRDefault="00000000" w:rsidRPr="00000000" w14:paraId="00000024">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Trata-se de saudável construção engendrada pelos processualistas pátrios com fito de propiciar, ao coagido por execução irregular, resistência aos atos executórios, trazendo à apreciação do julgador as nulidades que maculam o procedimento executivo. De modo simplista, trata-se de pedido direto de extinção do processo, ainda que apenas em relação a um dos executados, independentemente do manejo dos embargos e da segurança do juízo. </w:t>
      </w:r>
    </w:p>
    <w:p w:rsidR="00000000" w:rsidDel="00000000" w:rsidP="00000000" w:rsidRDefault="00000000" w:rsidRPr="00000000" w14:paraId="00000025">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Com efeito, de tão pacificada, a matéria restou sumulada no âmbito do STJ:</w:t>
      </w:r>
    </w:p>
    <w:p w:rsidR="00000000" w:rsidDel="00000000" w:rsidP="00000000" w:rsidRDefault="00000000" w:rsidRPr="00000000" w14:paraId="00000026">
      <w:pPr>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Súmula 393: A exceção de pré-executividade é admissível na execução fiscal relativamente às matérias conhecíveis de ofício que não demandem dilação probatória.</w:t>
      </w:r>
      <w:r w:rsidDel="00000000" w:rsidR="00000000" w:rsidRPr="00000000">
        <w:rPr>
          <w:rFonts w:ascii="Quattrocento Sans" w:cs="Quattrocento Sans" w:eastAsia="Quattrocento Sans" w:hAnsi="Quattrocento Sans"/>
          <w:rtl w:val="0"/>
        </w:rPr>
        <w:t xml:space="preserve"> </w:t>
      </w:r>
    </w:p>
    <w:p w:rsidR="00000000" w:rsidDel="00000000" w:rsidP="00000000" w:rsidRDefault="00000000" w:rsidRPr="00000000" w14:paraId="00000027">
      <w:pPr>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8">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Ademais, o artigo 803, do CPC/2015, também confirma o cabimento da presente via, conforme disposto em seu parágrafo único: </w:t>
      </w:r>
    </w:p>
    <w:p w:rsidR="00000000" w:rsidDel="00000000" w:rsidP="00000000" w:rsidRDefault="00000000" w:rsidRPr="00000000" w14:paraId="00000029">
      <w:pPr>
        <w:spacing w:after="0" w:lineRule="auto"/>
        <w:ind w:left="1701" w:firstLine="0"/>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A">
      <w:pPr>
        <w:spacing w:after="0" w:lineRule="auto"/>
        <w:ind w:left="1701"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Art. 803 do CPC: É nula a execução se: </w:t>
      </w:r>
    </w:p>
    <w:p w:rsidR="00000000" w:rsidDel="00000000" w:rsidP="00000000" w:rsidRDefault="00000000" w:rsidRPr="00000000" w14:paraId="0000002B">
      <w:pPr>
        <w:spacing w:after="0" w:lineRule="auto"/>
        <w:ind w:left="1701" w:firstLine="0"/>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 - o título executivo extrajudicial não corresponder a obrigação certa, líquida e exigível; </w:t>
      </w:r>
    </w:p>
    <w:p w:rsidR="00000000" w:rsidDel="00000000" w:rsidP="00000000" w:rsidRDefault="00000000" w:rsidRPr="00000000" w14:paraId="0000002C">
      <w:pPr>
        <w:spacing w:after="0" w:lineRule="auto"/>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II - o executado não for regularmente citado; </w:t>
      </w:r>
    </w:p>
    <w:p w:rsidR="00000000" w:rsidDel="00000000" w:rsidP="00000000" w:rsidRDefault="00000000" w:rsidRPr="00000000" w14:paraId="0000002D">
      <w:pPr>
        <w:spacing w:after="0" w:lineRule="auto"/>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III - for instaurada antes de se verificar a condição ou de ocorrer o termo. </w:t>
      </w:r>
    </w:p>
    <w:p w:rsidR="00000000" w:rsidDel="00000000" w:rsidP="00000000" w:rsidRDefault="00000000" w:rsidRPr="00000000" w14:paraId="0000002E">
      <w:pPr>
        <w:ind w:left="1701" w:firstLine="0"/>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Parágrafo único. </w:t>
      </w:r>
      <w:r w:rsidDel="00000000" w:rsidR="00000000" w:rsidRPr="00000000">
        <w:rPr>
          <w:rFonts w:ascii="Quattrocento Sans" w:cs="Quattrocento Sans" w:eastAsia="Quattrocento Sans" w:hAnsi="Quattrocento Sans"/>
          <w:b w:val="1"/>
          <w:bCs w:val="1"/>
          <w:rtl w:val="0"/>
        </w:rPr>
        <w:t xml:space="preserve">A nulidade de que cuida este artigo será pronunciada pelo juiz, de ofício ou a requerimento da parte</w:t>
      </w:r>
      <w:r w:rsidDel="00000000" w:rsidR="00000000" w:rsidRPr="00000000">
        <w:rPr>
          <w:rFonts w:ascii="Quattrocento Sans" w:cs="Quattrocento Sans" w:eastAsia="Quattrocento Sans" w:hAnsi="Quattrocento Sans"/>
          <w:rtl w:val="0"/>
        </w:rPr>
        <w:t xml:space="preserve">, independentemente de embargos à execução. </w:t>
      </w:r>
    </w:p>
    <w:p w:rsidR="00000000" w:rsidDel="00000000" w:rsidP="00000000" w:rsidRDefault="00000000" w:rsidRPr="00000000" w14:paraId="0000002F">
      <w:pPr>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Destarte, considerando que as alegações trazidas ao crivo de Vossa Excelência, para além de serem passíveis de conhecimento de plano, através da simples análise dos próprios autos, não necessitam, ainda, de dilação probatória, inelutável restar cabível o manejo da presente exceção de pré-executividade a fim de demonstrar que a presente execução padece de nulidade, posto que fulminada pela prescrição.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Ressalte-se que, no caso da prescrição intercorrente, a própria Lei de Execuções Fiscais autoriza o seu reconhecimento de ofício pelo magistrado (art. 40, § 4º), o que reforça tratar-se de matéria de ordem pública, aferível de plano pela simples análise da movimentação processual.</w:t>
      </w:r>
    </w:p>
    <w:p>
      <w:pPr>
        <w:jc w:val="both"/>
        <w:rPr>
          <w:rFonts w:ascii="Quattrocento Sans" w:cs="Quattrocento Sans" w:eastAsia="Quattrocento Sans" w:hAnsi="Quattrocento Sans"/>
        </w:rPr>
      </w:pPr>
    </w:p>
    <w:p>
      <w:pPr>
        <w:spacing w:after="0" w:line="240" w:lineRule="auto"/>
        <w:jc w:val="both"/>
        <w:rPr>
          <w:rFonts w:ascii="Quattrocento Sans" w:cs="Quattrocento Sans" w:eastAsia="Quattrocento Sans" w:hAnsi="Quattrocento Sans"/>
          <w:b w:val="1"/>
          <w:bCs w:val="1"/>
        </w:rPr>
      </w:pPr>
      <w:r>
        <w:rPr>
          <w:rFonts w:ascii="Quattrocento Sans" w:cs="Quattrocento Sans" w:eastAsia="Quattrocento Sans" w:hAnsi="Quattrocento Sans"/>
          <w:b/>
          <w:bCs/>
          <w:rtl w:val="0"/>
        </w:rPr>
        <w:t xml:space="preserve">DA PRESCRIÇÃO INTERCORRENTE</w:t>
      </w:r>
    </w:p>
    <w:p>
      <w:pPr>
        <w:jc w:val="both"/>
        <w:rPr>
          <w:rFonts w:ascii="Quattrocento Sans" w:cs="Quattrocento Sans" w:eastAsia="Quattrocento Sans" w:hAnsi="Quattrocento Sans"/>
          <w:i w:val="1"/>
          <w:iCs w:val="1"/>
        </w:rPr>
      </w:pPr>
      <w:r>
        <w:rPr>
          <w:rFonts w:ascii="Quattrocento Sans" w:cs="Quattrocento Sans" w:eastAsia="Quattrocento Sans" w:hAnsi="Quattrocento Sans"/>
          <w:i/>
          <w:iCs/>
          <w:rtl w:val="0"/>
        </w:rPr>
        <w:t xml:space="preserve">Perda da pretensão executória pela inércia do exequente. Extinção do crédito tributário.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A prescrição intercorrente é aquela que se consuma no curso do próprio processo executivo quando, após a suspensão da execução pela não localização do devedor ou de bens penhoráveis, o exequente permanece sem promover atos efetivos de satisfação do crédito pelo prazo prescricional.</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Sua disciplina, no âmbito das execuções fiscais, encontra-se no art. 40 da Lei nº 6.830/1980:</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Art. 40 - O Juiz suspenderá o curso da execução, enquanto não for localizado o devedor ou encontrados bens sobre os quais possa recair a penhora, e, nesses casos, não correrá o prazo de prescrição.</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 1º - Suspenso o curso da execução, será aberta vista dos autos ao representante judicial da Fazenda Pública.</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 2º - Decorrido o prazo máximo de 1 (um) ano, sem que seja localizado o devedor ou encontrados bens penhoráveis, o Juiz ordenará o arquivamento dos autos.</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 3º - Encontrados que sejam, a qualquer tempo, o devedor ou os bens, serão desarquivados os autos para prosseguimento da execução.</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b/>
          <w:bCs/>
          <w:rtl w:val="0"/>
        </w:rPr>
        <w:t xml:space="preserve">§ 4º Se da decisão que ordenar o arquivamento tiver decorrido o prazo prescricional, o juiz, depois de ouvida a Fazenda Pública, poderá, de ofício, reconhecer a prescrição intercorrente e decretá-la de imediato.</w:t>
      </w:r>
    </w:p>
    <w:p>
      <w:pPr>
        <w:jc w:val="both"/>
        <w:rPr>
          <w:rFonts w:ascii="Quattrocento Sans" w:cs="Quattrocento Sans" w:eastAsia="Quattrocento Sans" w:hAnsi="Quattrocento Sans"/>
        </w:rPr>
      </w:pP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O Superior Tribunal de Justiça sedimentou a matéria na Súmula 314:</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b/>
          <w:bCs/>
          <w:rtl w:val="0"/>
        </w:rPr>
        <w:t xml:space="preserve">Súmula 314 - Em execução fiscal, não localizados bens penhoráveis, suspende-se o processo por um ano, findo o qual se inicia o prazo da prescrição quinquenal intercorrente.</w:t>
      </w:r>
    </w:p>
    <w:p>
      <w:pPr>
        <w:jc w:val="both"/>
        <w:rPr>
          <w:rFonts w:ascii="Quattrocento Sans" w:cs="Quattrocento Sans" w:eastAsia="Quattrocento Sans" w:hAnsi="Quattrocento Sans"/>
        </w:rPr>
      </w:pP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Posteriormente, no julgamento do Recurso Especial Repetitivo nº 1.340.553/RS (Temas 566 a 571), a Primeira Seção do STJ fixou as balizas de aplicação do art. 40 da LEF, das quais se destacam:</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 </w:t>
      </w:r>
      <w:r>
        <w:rPr>
          <w:rFonts w:ascii="Quattrocento Sans" w:cs="Quattrocento Sans" w:eastAsia="Quattrocento Sans" w:hAnsi="Quattrocento Sans"/>
          <w:b/>
          <w:bCs/>
          <w:rtl w:val="0"/>
        </w:rPr>
        <w:t xml:space="preserve">o prazo de 1 (um) ano de suspensão inicia-se automaticamente na data da ciência da Fazenda Pública a respeito da não localização do devedor ou de bens penhoráveis;</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(ii) havendo ou não petição da Fazenda Pública e havendo ou não pronunciamento judicial nesse sentido, </w:t>
      </w:r>
      <w:r>
        <w:rPr>
          <w:rFonts w:ascii="Quattrocento Sans" w:cs="Quattrocento Sans" w:eastAsia="Quattrocento Sans" w:hAnsi="Quattrocento Sans"/>
          <w:b/>
          <w:bCs/>
          <w:rtl w:val="0"/>
        </w:rPr>
        <w:t xml:space="preserve">findo o prazo de 1 (um) ano de suspensão inicia-se automaticamente o prazo prescricional aplicável</w:t>
      </w:r>
      <w:r>
        <w:rPr>
          <w:rFonts w:ascii="Quattrocento Sans" w:cs="Quattrocento Sans" w:eastAsia="Quattrocento Sans" w:hAnsi="Quattrocento Sans"/>
          <w:rtl w:val="0"/>
        </w:rPr>
        <w:t xml:space="preserve">, durante o qual o processo deveria estar arquivado sem baixa na distribuição, findo o qual estará consumada a prescrição intercorrente; e</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(iii) </w:t>
      </w:r>
      <w:r>
        <w:rPr>
          <w:rFonts w:ascii="Quattrocento Sans" w:cs="Quattrocento Sans" w:eastAsia="Quattrocento Sans" w:hAnsi="Quattrocento Sans"/>
          <w:b/>
          <w:bCs/>
          <w:rtl w:val="0"/>
        </w:rPr>
        <w:t xml:space="preserve">somente a efetiva constrição patrimonial e a efetiva citação (ainda que por edital) são aptas a interromper o curso da prescrição intercorrente</w:t>
      </w:r>
      <w:r>
        <w:rPr>
          <w:rFonts w:ascii="Quattrocento Sans" w:cs="Quattrocento Sans" w:eastAsia="Quattrocento Sans" w:hAnsi="Quattrocento Sans"/>
          <w:rtl w:val="0"/>
        </w:rPr>
        <w:t xml:space="preserve">, não bastando para tal o mero peticionamento em juízo requerendo a feitura da penhora sobre ativos financeiros ou sobre outros bens.</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O Supremo Tribunal Federal, por sua vez, no julgamento do RE 636.562/SC (Tema 390 da Repercussão Geral), confirmou a constitucionalidade do dispositivo, fixando a seguinte tese:</w:t>
      </w:r>
    </w:p>
    <w:p>
      <w:pPr>
        <w:ind w:left="1701" w:firstLine="0"/>
        <w:jc w:val="both"/>
        <w:rPr>
          <w:rFonts w:ascii="Quattrocento Sans" w:cs="Quattrocento Sans" w:eastAsia="Quattrocento Sans" w:hAnsi="Quattrocento Sans"/>
        </w:rPr>
      </w:pPr>
      <w:r>
        <w:rPr>
          <w:rFonts w:ascii="Quattrocento Sans" w:cs="Quattrocento Sans" w:eastAsia="Quattrocento Sans" w:hAnsi="Quattrocento Sans"/>
          <w:b/>
          <w:bCs/>
          <w:rtl w:val="0"/>
        </w:rPr>
        <w:t xml:space="preserve">Tema 390/STF - É constitucional o art. 40 da Lei nº 6.830/1980 (Lei de Execuções Fiscais – LEF), tendo natureza processual o prazo de 1 (um) ano de suspensão da execução fiscal. Após o decurso desse prazo, inicia-se automaticamente a contagem do prazo prescricional tributário de 5 (cinco) anos.</w:t>
      </w:r>
    </w:p>
    <w:p>
      <w:pPr>
        <w:jc w:val="both"/>
        <w:rPr>
          <w:rFonts w:ascii="Quattrocento Sans" w:cs="Quattrocento Sans" w:eastAsia="Quattrocento Sans" w:hAnsi="Quattrocento Sans"/>
        </w:rPr>
      </w:pP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Em síntese: a contagem independe de decisão judicial de suspensão ou de arquivamento, e o prazo total é de </w:t>
      </w:r>
      <w:r>
        <w:rPr>
          <w:rFonts w:ascii="Quattrocento Sans" w:cs="Quattrocento Sans" w:eastAsia="Quattrocento Sans" w:hAnsi="Quattrocento Sans"/>
          <w:b/>
          <w:bCs/>
          <w:rtl w:val="0"/>
        </w:rPr>
        <w:t xml:space="preserve">6 (seis) anos</w:t>
      </w:r>
      <w:r>
        <w:rPr>
          <w:rFonts w:ascii="Quattrocento Sans" w:cs="Quattrocento Sans" w:eastAsia="Quattrocento Sans" w:hAnsi="Quattrocento Sans"/>
          <w:rtl w:val="0"/>
        </w:rPr>
        <w:t xml:space="preserve"> contados da ciência da Fazenda Pública acerca da não localização do devedor ou de bens: 1 (um) ano de suspensão somado a 5 (cinco) anos de prescrição.</w:t>
      </w:r>
    </w:p>
    <w:p>
      <w:pPr>
        <w:jc w:val="both"/>
        <w:rPr>
          <w:rFonts w:ascii="Quattrocento Sans" w:cs="Quattrocento Sans" w:eastAsia="Quattrocento Sans" w:hAnsi="Quattrocento Sans"/>
        </w:rPr>
      </w:pPr>
    </w:p>
    <w:p>
      <w:pPr>
        <w:spacing w:after="0" w:line="240" w:lineRule="auto"/>
        <w:jc w:val="both"/>
        <w:rPr>
          <w:rFonts w:ascii="Quattrocento Sans" w:cs="Quattrocento Sans" w:eastAsia="Quattrocento Sans" w:hAnsi="Quattrocento Sans"/>
          <w:b w:val="1"/>
          <w:bCs w:val="1"/>
        </w:rPr>
      </w:pPr>
      <w:r>
        <w:rPr>
          <w:rFonts w:ascii="Quattrocento Sans" w:cs="Quattrocento Sans" w:eastAsia="Quattrocento Sans" w:hAnsi="Quattrocento Sans"/>
          <w:b/>
          <w:bCs/>
          <w:rtl w:val="0"/>
        </w:rPr>
        <w:t xml:space="preserve">DA PRESCRIÇÃO INTERCORRENTE NO CASO CONCRETO</w:t>
      </w:r>
    </w:p>
    <w:p>
      <w:pPr>
        <w:jc w:val="both"/>
        <w:rPr>
          <w:rFonts w:ascii="Quattrocento Sans" w:cs="Quattrocento Sans" w:eastAsia="Quattrocento Sans" w:hAnsi="Quattrocento Sans"/>
          <w:i w:val="1"/>
          <w:iCs w:val="1"/>
        </w:rPr>
      </w:pPr>
      <w:r>
        <w:rPr>
          <w:rFonts w:ascii="Quattrocento Sans" w:cs="Quattrocento Sans" w:eastAsia="Quattrocento Sans" w:hAnsi="Quattrocento Sans"/>
          <w:i/>
          <w:iCs/>
          <w:rtl w:val="0"/>
        </w:rPr>
        <w:t xml:space="preserve">Impõe-se a extinção da execução.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Na hipótese dos autos, a Fazenda Pública tomou ciência da não localização +++INS objeto_nao_localizado+++ em </w:t>
      </w:r>
      <w:r>
        <w:rPr>
          <w:rFonts w:ascii="Quattrocento Sans" w:cs="Quattrocento Sans" w:eastAsia="Quattrocento Sans" w:hAnsi="Quattrocento Sans"/>
          <w:b/>
          <w:bCs/>
          <w:rtl w:val="0"/>
        </w:rPr>
        <w:t xml:space="preserve">+++INS data_intimacao+++</w:t>
      </w:r>
      <w:r>
        <w:rPr>
          <w:rFonts w:ascii="Quattrocento Sans" w:cs="Quattrocento Sans" w:eastAsia="Quattrocento Sans" w:hAnsi="Quattrocento Sans"/>
          <w:rtl w:val="0"/>
        </w:rPr>
        <w:t xml:space="preserve">, conforme +++INS fonte_intimacao+++. Nesse momento, nos termos do item (i) acima, iniciou-se automaticamente o prazo de 1 (um) ano de suspensão, encerrado em </w:t>
      </w:r>
      <w:r>
        <w:rPr>
          <w:rFonts w:ascii="Quattrocento Sans" w:cs="Quattrocento Sans" w:eastAsia="Quattrocento Sans" w:hAnsi="Quattrocento Sans"/>
          <w:b/>
          <w:bCs/>
          <w:rtl w:val="0"/>
        </w:rPr>
        <w:t xml:space="preserve">+++INS data_fim_suspensao+++</w:t>
      </w:r>
      <w:r>
        <w:rPr>
          <w:rFonts w:ascii="Quattrocento Sans" w:cs="Quattrocento Sans" w:eastAsia="Quattrocento Sans" w:hAnsi="Quattrocento Sans"/>
          <w:rtl w:val="0"/>
        </w:rPr>
        <w:t xml:space="preserve">. Ato contínuo, iniciou-se o prazo prescricional de 5 (cinco) anos, </w:t>
      </w:r>
      <w:r>
        <w:rPr>
          <w:rFonts w:ascii="Quattrocento Sans" w:cs="Quattrocento Sans" w:eastAsia="Quattrocento Sans" w:hAnsi="Quattrocento Sans"/>
          <w:b/>
          <w:bCs/>
          <w:rtl w:val="0"/>
        </w:rPr>
        <w:t xml:space="preserve">que se consumou em +++INS data_prazo_final+++.</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+++INS fig_intimacao+++</w:t>
      </w:r>
    </w:p>
    <w:p>
      <w:pPr>
        <w:jc w:val="both"/>
        <w:rPr>
          <w:rFonts w:ascii="Quattrocento Sans" w:cs="Quattrocento Sans" w:eastAsia="Quattrocento Sans" w:hAnsi="Quattrocento Sans"/>
        </w:rPr>
      </w:pPr>
      <w:r>
        <w:rPr>
          <w:rFonts w:ascii="Quattrocento Sans" w:cs="Quattrocento Sans" w:eastAsia="Quattrocento Sans" w:hAnsi="Quattrocento Sans"/>
          <w:b/>
          <w:bCs/>
          <w:i/>
          <w:iCs/>
          <w:rtl w:val="0"/>
        </w:rPr>
        <w:t xml:space="preserve">+++INS fig_intimacao_legenda+++</w:t>
      </w:r>
    </w:p>
    <w:tbl>
      <w:tblPr>
        <w:tblW w:w="9000" w:type="dxa"/>
        <w:jc w:val="lef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Look w:val="0000"/>
      </w:tblPr>
      <w:tblGrid>
        <w:gridCol w:w="3300"/>
        <w:gridCol w:w="1500"/>
        <w:gridCol w:w="4200"/>
      </w:tblGrid>
      <w:tr>
        <w:trPr>
          <w:cantSplit/>
          <w:tblHeader/>
        </w:trPr>
        <w:tc>
          <w:tcPr>
            <w:tcW w:w="33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Marco</w:t>
            </w:r>
          </w:p>
        </w:tc>
        <w:tc>
          <w:tcPr>
            <w:tcW w:w="15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Data</w:t>
            </w:r>
          </w:p>
        </w:tc>
        <w:tc>
          <w:tcPr>
            <w:tcW w:w="42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Fundamento</w:t>
            </w:r>
          </w:p>
        </w:tc>
      </w:tr>
      <w:tr>
        <w:trPr>
          <w:cantSplit/>
        </w:trPr>
        <w:tc>
          <w:tcPr>
            <w:tcW w:w="33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Ciência da Fazenda sobre a não localização</w:t>
            </w:r>
          </w:p>
        </w:tc>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+++INS data_intimacao+++</w:t>
            </w:r>
          </w:p>
        </w:tc>
        <w:tc>
          <w:tcPr>
            <w:tcW w:w="4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Art. 40, caput e § 1º, LEF; REsp 1.340.553/RS</w:t>
            </w:r>
          </w:p>
        </w:tc>
      </w:tr>
      <w:tr>
        <w:trPr>
          <w:cantSplit/>
        </w:trPr>
        <w:tc>
          <w:tcPr>
            <w:tcW w:w="33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Fim da suspensão de 1 ano / início do prazo prescricional</w:t>
            </w:r>
          </w:p>
        </w:tc>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+++INS data_fim_suspensao+++</w:t>
            </w:r>
          </w:p>
        </w:tc>
        <w:tc>
          <w:tcPr>
            <w:tcW w:w="4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Art. 40, § 2º, LEF; Súmula 314/STJ; Tema 390/STF</w:t>
            </w:r>
          </w:p>
        </w:tc>
      </w:tr>
      <w:tr>
        <w:trPr>
          <w:cantSplit/>
        </w:trPr>
        <w:tc>
          <w:tcPr>
            <w:tcW w:w="33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Consumação da prescrição intercorrente</w:t>
            </w:r>
          </w:p>
        </w:tc>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+++INS data_prazo_final+++</w:t>
            </w:r>
          </w:p>
        </w:tc>
        <w:tc>
          <w:tcPr>
            <w:tcW w:w="4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b/>
                <w:bCs/>
                <w:sz w:val="22"/>
                <w:szCs w:val="22"/>
              </w:rPr>
              <w:t xml:space="preserve">Art. 40, § 4º, LEF; art. 174 do CTN</w:t>
            </w:r>
          </w:p>
        </w:tc>
      </w:tr>
      <w:tr>
        <w:trPr>
          <w:cantSplit/>
        </w:trPr>
        <w:tc>
          <w:tcPr>
            <w:tcW w:w="33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Data da presente petição</w:t>
            </w:r>
          </w:p>
        </w:tc>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+++INS data_hoje+++</w:t>
            </w:r>
          </w:p>
        </w:tc>
        <w:tc>
          <w:tcPr>
            <w:tcW w:w="4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Prazo extrapolado: </w:t>
            </w:r>
            <w:r>
              <w:rPr>
                <w:rFonts w:ascii="Quattrocento Sans" w:hAnsi="Quattrocento Sans" w:cs="Quattrocento Sans"/>
                <w:b/>
                <w:bCs/>
                <w:sz w:val="22"/>
                <w:szCs w:val="22"/>
              </w:rPr>
              <w:t xml:space="preserve">operada a prescrição intercorrente</w:t>
            </w:r>
          </w:p>
        </w:tc>
      </w:tr>
    </w:tbl>
    <w:p>
      <w:pPr>
        <w:jc w:val="both"/>
        <w:rPr>
          <w:rFonts w:ascii="Quattrocento Sans" w:cs="Quattrocento Sans" w:eastAsia="Quattrocento Sans" w:hAnsi="Quattrocento Sans"/>
        </w:rPr>
      </w:pP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Entre +++INS data_intimacao+++ e +++INS data_prazo_final+++ não houve citação do executado nem qualquer constrição patrimonial efetiva, que são os únicos eventos aptos a interromper a prescrição intercorrente segundo o item (iii) do REsp 1.340.553/RS, consoante se verifica da movimentação processual anexa.</w:t>
      </w:r>
    </w:p>
    <w:p>
      <w:r>
        <w:t>+++IF ha_ciclos_interrompidos+++</w:t>
      </w:r>
    </w:p>
    <w:p>
      <w:r>
        <w:t>+++FOR ci IN ciclos_interrompidos+++</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Registre-se, por oportuno, que episódio anterior de não localização, com ciência da Fazenda em +++INS $ci.data_intimacao_ciclo+++, teve a contagem interrompida em +++INS $ci.data_interrupcao+++ por +++INS $ci.evento_interrupcao_extenso+++. A contagem ora demonstrada refere-se ao episódio subsequente, iniciado em +++INS data_intimacao+++, que não sofreu qualquer interrupção.</w:t>
      </w:r>
    </w:p>
    <w:p>
      <w:r>
        <w:t>+++END-FOR ci+++</w:t>
      </w:r>
    </w:p>
    <w:p>
      <w:r>
        <w:t>+++END-IF+++</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Para fins de ilustração, a linha do tempo abaixo demonstra o curso da execução e a ocorrência da prescrição intercorrente:</w:t>
      </w:r>
    </w:p>
    <w:tbl>
      <w:tblPr>
        <w:tblW w:w="9000" w:type="dxa"/>
        <w:jc w:val="lef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Look w:val="0000"/>
      </w:tblPr>
      <w:tblGrid>
        <w:gridCol w:w="1500"/>
        <w:gridCol w:w="4500"/>
        <w:gridCol w:w="3000"/>
      </w:tblGrid>
      <w:tr>
        <w:trPr>
          <w:cantSplit/>
          <w:tblHeader/>
        </w:trPr>
        <w:tc>
          <w:tcPr>
            <w:tcW w:w="15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Data</w:t>
            </w:r>
          </w:p>
        </w:tc>
        <w:tc>
          <w:tcPr>
            <w:tcW w:w="45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Evento</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attrocento Sans" w:hAnsi="Quattrocento Sans" w:cs="Quattrocento Sans"/>
                <w:b/>
                <w:bCs/>
                <w:sz w:val="22"/>
                <w:szCs w:val="22"/>
              </w:rPr>
              <w:t xml:space="preserve">Documento-fonte</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+++FOR m IN linha_do_tempo+++</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+++INS $m.data+++</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+++INS $m.evento+++</w:t>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+++INS $m.fonte+++</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+++END-FOR m+++</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attrocento Sans" w:hAnsi="Quattrocento Sans" w:cs="Quattrocento Sans"/>
                <w:sz w:val="22"/>
                <w:szCs w:val="22"/>
              </w:rPr>
              <w:t xml:space="preserve"/>
            </w:r>
          </w:p>
        </w:tc>
      </w:tr>
    </w:tbl>
    <w:p>
      <w:pPr>
        <w:jc w:val="both"/>
        <w:rPr>
          <w:rFonts w:ascii="Quattrocento Sans" w:cs="Quattrocento Sans" w:eastAsia="Quattrocento Sans" w:hAnsi="Quattrocento Sans"/>
        </w:rPr>
      </w:pP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Diante do exposto, consumada a prescrição intercorrente, o crédito tributário exequendo encontra-se </w:t>
      </w:r>
      <w:r>
        <w:rPr>
          <w:rFonts w:ascii="Quattrocento Sans" w:cs="Quattrocento Sans" w:eastAsia="Quattrocento Sans" w:hAnsi="Quattrocento Sans"/>
          <w:b/>
          <w:bCs/>
          <w:rtl w:val="0"/>
        </w:rPr>
        <w:t xml:space="preserve">extinto</w:t>
      </w:r>
      <w:r>
        <w:rPr>
          <w:rFonts w:ascii="Quattrocento Sans" w:cs="Quattrocento Sans" w:eastAsia="Quattrocento Sans" w:hAnsi="Quattrocento Sans"/>
          <w:rtl w:val="0"/>
        </w:rPr>
        <w:t xml:space="preserve"> (art. 156, V, do CTN), não subsistindo pretensão executória apta a justificar o prosseguimento do feito.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É imperioso reconhecer a prescrição intercorrente, não apenas pelo direito do Executado, mas também para evitar que a inércia da Fazenda Pública perpetue execuções fiscais inviáveis, sobrecarregando o acervo processual do Judiciário em detrimento da efetividade da Justiça e do postulado da razoável duração do processo.</w:t>
      </w:r>
    </w:p>
    <w:p>
      <w:pPr>
        <w:jc w:val="both"/>
        <w:rPr>
          <w:rFonts w:ascii="Quattrocento Sans" w:cs="Quattrocento Sans" w:eastAsia="Quattrocento Sans" w:hAnsi="Quattrocento Sans"/>
        </w:rPr>
      </w:pPr>
    </w:p>
    <w:p w:rsidR="00000000" w:rsidDel="00000000" w:rsidP="00000000" w:rsidRDefault="00000000" w:rsidRPr="00000000" w14:paraId="00000064">
      <w:pPr>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DOS PEDIDOS</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Isto posto, requer a V.Exa.:</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a) o recebimento da presente exceção de pré-executividade, com o sobrestamento dos atos executivos enquanto não apreciada a presente postulação;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b) a intimação da Fazenda Pública para, querendo, manifestar-se, nos termos do art. 40, § 4º, da Lei nº 6.830/1980;</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c) o </w:t>
      </w:r>
      <w:r>
        <w:rPr>
          <w:rFonts w:ascii="Quattrocento Sans" w:cs="Quattrocento Sans" w:eastAsia="Quattrocento Sans" w:hAnsi="Quattrocento Sans"/>
          <w:b/>
          <w:bCs/>
          <w:rtl w:val="0"/>
        </w:rPr>
        <w:t xml:space="preserve">reconhecimento da prescrição intercorrente</w:t>
      </w:r>
      <w:r>
        <w:rPr>
          <w:rFonts w:ascii="Quattrocento Sans" w:cs="Quattrocento Sans" w:eastAsia="Quattrocento Sans" w:hAnsi="Quattrocento Sans"/>
          <w:rtl w:val="0"/>
        </w:rPr>
        <w:t xml:space="preserve"> do crédito tributário consubstanciado na(s) CDA(s) nº +++INS cdas_lista+++, com a consequente </w:t>
      </w:r>
      <w:r>
        <w:rPr>
          <w:rFonts w:ascii="Quattrocento Sans" w:cs="Quattrocento Sans" w:eastAsia="Quattrocento Sans" w:hAnsi="Quattrocento Sans"/>
          <w:b/>
          <w:bCs/>
          <w:rtl w:val="0"/>
        </w:rPr>
        <w:t xml:space="preserve">extinção da execução fiscal</w:t>
      </w:r>
      <w:r>
        <w:rPr>
          <w:rFonts w:ascii="Quattrocento Sans" w:cs="Quattrocento Sans" w:eastAsia="Quattrocento Sans" w:hAnsi="Quattrocento Sans"/>
          <w:rtl w:val="0"/>
        </w:rPr>
        <w:t xml:space="preserve">, nos termos do art. 40, § 4º, da Lei nº 6.830/1980, do art. 156, V, do CTN e do art. 924, V, do CPC;</w:t>
      </w:r>
    </w:p>
    <w:p>
      <w:r>
        <w:t>+++IF houve_protesto+++</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+++INS letra_protesto+++) o cancelamento do(s) protesto(s) da(s) CDA(s) nº +++INS cdas_protestadas_lista+++, sem a cobrança de quaisquer emolumentos ao executado;</w:t>
      </w:r>
    </w:p>
    <w:p>
      <w:r>
        <w:t>+++END-IF+++</w:t>
      </w:r>
    </w:p>
    <w:p>
      <w:pPr>
        <w:jc w:val="both"/>
        <w:rPr>
          <w:rFonts w:ascii="Quattrocento Sans" w:cs="Quattrocento Sans" w:eastAsia="Quattrocento Sans" w:hAnsi="Quattrocento Sans"/>
        </w:rPr>
      </w:pPr>
      <w:r>
        <w:rPr>
          <w:rFonts w:ascii="Quattrocento Sans" w:cs="Quattrocento Sans" w:eastAsia="Quattrocento Sans" w:hAnsi="Quattrocento Sans"/>
          <w:rtl w:val="0"/>
        </w:rPr>
        <w:t xml:space="preserve">+++INS letra_liberacao+++) a liberação de eventuais restrições e constrições existentes nos autos.</w:t>
      </w:r>
    </w:p>
    <w:p w:rsidR="00000000" w:rsidDel="00000000" w:rsidP="00000000" w:rsidRDefault="00000000" w:rsidRPr="00000000" w14:paraId="00000066">
      <w:pPr>
        <w:spacing w:after="0"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Termos em que pede deferimento.</w:t>
      </w:r>
    </w:p>
    <w:p w:rsidR="00000000" w:rsidDel="00000000" w:rsidP="00000000" w:rsidRDefault="00000000" w:rsidRPr="00000000" w14:paraId="00000067">
      <w:pPr>
        <w:jc w:val="right"/>
        <w:rPr>
          <w:rFonts w:ascii="Quattrocento Sans" w:cs="Quattrocento Sans" w:eastAsia="Quattrocento Sans" w:hAnsi="Quattrocento Sans"/>
        </w:rPr>
      </w:pPr>
      <w:bookmarkStart w:colFirst="0" w:colLast="0" w:name="_heading=h.3dy6vkm" w:id="2"/>
      <w:bookmarkEnd w:id="2"/>
      <w:r w:rsidDel="00000000" w:rsidR="00000000" w:rsidRPr="00000000">
        <w:rPr>
          <w:rFonts w:ascii="Quattrocento Sans" w:cs="Quattrocento Sans" w:eastAsia="Quattrocento Sans" w:hAnsi="Quattrocento Sans"/>
          <w:rtl w:val="0"/>
        </w:rPr>
        <w:t xml:space="preserve">+++INS fecho_local_data+++</w:t>
      </w:r>
    </w:p>
    <w:p w:rsidR="00000000" w:rsidDel="00000000" w:rsidP="00000000" w:rsidRDefault="00000000" w:rsidRPr="00000000" w14:paraId="00000068">
      <w:pPr>
        <w:jc w:val="righ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B">
      <w:pPr>
        <w:jc w:val="right"/>
        <w:rPr>
          <w:rFonts w:ascii="Quattrocento Sans" w:cs="Quattrocento Sans" w:eastAsia="Quattrocento Sans" w:hAnsi="Quattrocento Sans"/>
          <w:b w:val="1"/>
          <w:bCs w:val="1"/>
        </w:rPr>
      </w:pPr>
      <w:r w:rsidDel="00000000" w:rsidR="00000000" w:rsidRPr="00000000">
        <w:rPr>
          <w:rtl w:val="0"/>
        </w:rPr>
      </w:r>
    </w:p>
    <w:p>
      <w:r>
        <w:t>+++FOR a IN advogados+++</w:t>
      </w:r>
    </w:p>
    <w:p w:rsidR="00000000" w:rsidDel="00000000" w:rsidP="00000000" w:rsidRDefault="00000000" w:rsidRPr="00000000" w14:paraId="0000006C">
      <w:pPr>
        <w:tabs>
          <w:tab w:val="left" w:leader="none" w:pos="6384"/>
        </w:tabs>
        <w:spacing w:after="0" w:lineRule="auto"/>
        <w:ind w:left="720" w:firstLine="0"/>
        <w:jc w:val="righ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+++INS $a.nome+++ | +++INS $a.oab+++</w:t>
      </w:r>
    </w:p>
    <w:p>
      <w:r>
        <w:t>+++END-FOR a+++</w:t>
      </w:r>
    </w:p>
    <w:p w:rsidR="00000000" w:rsidDel="00000000" w:rsidP="00000000" w:rsidRDefault="00000000" w:rsidRPr="00000000" w14:paraId="0000006A">
      <w:pPr>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Documento assinado digitalmente</w:t>
      </w:r>
      <w:r w:rsidDel="00000000" w:rsidR="00000000" w:rsidRPr="00000000">
        <w:rPr>
          <w:rtl w:val="0"/>
        </w:rPr>
      </w:r>
    </w:p>
    <w:sectPr>
      <w:headerReference r:id="rId10" w:type="default"/>
      <w:headerReference r:id="rId11" w:type="first"/>
      <w:footerReference r:id="rId12" w:type="first"/>
      <w:pgSz w:h="16838" w:w="11906" w:orient="portrait"/>
      <w:pgMar w:bottom="835" w:top="1701" w:left="1701" w:right="1418" w:header="709"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1701" w:firstLine="0"/>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-1079181</wp:posOffset>
              </wp:positionH>
              <wp:positionV relativeFrom="paragraph">
                <wp:posOffset>-774803</wp:posOffset>
              </wp:positionV>
              <wp:extent cx="7558331" cy="930600"/>
              <wp:effectExtent b="0" l="0" r="0" t="0"/>
              <wp:wrapNone/>
              <wp:docPr id="2061165508" name=""/>
              <a:graphic>
                <a:graphicData uri="http://schemas.microsoft.com/office/word/2010/wordprocessingShape">
                  <wps:wsp>
                    <wps:cNvSpPr/>
                    <wps:cNvPr id="3" name="Shape 3"/>
                    <wps:spPr>
                      <a:xfrm>
                        <a:off x="1571597" y="3319463"/>
                        <a:ext cx="7548806" cy="921075"/>
                      </a:xfrm>
                      <a:prstGeom prst="rect">
                        <a:avLst/>
                      </a:prstGeom>
                      <a:solidFill>
                        <a:srgbClr val="7B7B7B"/>
                      </a:solidFill>
                      <a:ln>
                        <a:noFill/>
                      </a:ln>
                    </wps:spPr>
                    <wps:txbx>
                      <w:txbxContent>
                        <w:p w:rsidR="00000000" w:rsidDel="00000000" w:rsidP="00000000" w:rsidRDefault="00000000" w:rsidRPr="00000000">
                          <w:pPr>
                            <w:spacing w:after="160" w:before="0" w:line="30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-1079181</wp:posOffset>
              </wp:positionH>
              <wp:positionV relativeFrom="paragraph">
                <wp:posOffset>-774803</wp:posOffset>
              </wp:positionV>
              <wp:extent cx="7558331" cy="930600"/>
              <wp:effectExtent b="0" l="0" r="0" t="0"/>
              <wp:wrapNone/>
              <wp:docPr id="2061165508"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7558331" cy="930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-415394</wp:posOffset>
              </wp:positionH>
              <wp:positionV relativeFrom="paragraph">
                <wp:posOffset>-569276</wp:posOffset>
              </wp:positionV>
              <wp:extent cx="2205420" cy="556830"/>
              <wp:effectExtent b="0" l="0" r="0" t="0"/>
              <wp:wrapNone/>
              <wp:docPr id="2061165516" name=""/>
              <a:graphic>
                <a:graphicData uri="http://schemas.microsoft.com/office/word/2010/wordprocessingShape">
                  <wps:wsp>
                    <wps:cNvSpPr/>
                    <wps:cNvPr id="26" name="Shape 26"/>
                    <wps:spPr>
                      <a:xfrm>
                        <a:off x="4248053" y="3506348"/>
                        <a:ext cx="2195895" cy="547305"/>
                      </a:xfrm>
                      <a:prstGeom prst="rect">
                        <a:avLst/>
                      </a:prstGeom>
                      <a:no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t xml:space="preserve">+++INS escritorio_email+++</w:t>
                          </w:r>
                        </w:p>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r>
                          <w:r w:rsidDel="00000000" w:rsidR="00000000" w:rsidRPr="00000000">
                            <w:rPr>
                              <w:rFonts w:ascii="Quicksand" w:cs="Quicksand" w:eastAsia="Quicksand" w:hAnsi="Quicksand"/>
                              <w:b w:val="0"/>
                              <w:i w:val="0"/>
                              <w:smallCaps w:val="0"/>
                              <w:strike w:val="0"/>
                              <w:color w:val="ffffff"/>
                              <w:sz w:val="18"/>
                              <w:vertAlign w:val="baseline"/>
                            </w:rPr>
                            <w:t xml:space="preserve">+++INS escritorio_site+++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-415394</wp:posOffset>
              </wp:positionH>
              <wp:positionV relativeFrom="paragraph">
                <wp:posOffset>-569276</wp:posOffset>
              </wp:positionV>
              <wp:extent cx="2205420" cy="556830"/>
              <wp:effectExtent b="0" l="0" r="0" t="0"/>
              <wp:wrapNone/>
              <wp:docPr id="2061165516"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2205420" cy="556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3394392</wp:posOffset>
              </wp:positionH>
              <wp:positionV relativeFrom="paragraph">
                <wp:posOffset>-493076</wp:posOffset>
              </wp:positionV>
              <wp:extent cx="2205420" cy="556830"/>
              <wp:effectExtent b="0" l="0" r="0" t="0"/>
              <wp:wrapNone/>
              <wp:docPr id="2061165511" name=""/>
              <a:graphic>
                <a:graphicData uri="http://schemas.microsoft.com/office/word/2010/wordprocessingShape">
                  <wps:wsp>
                    <wps:cNvSpPr/>
                    <wps:cNvPr id="21" name="Shape 21"/>
                    <wps:spPr>
                      <a:xfrm>
                        <a:off x="4248053" y="3506348"/>
                        <a:ext cx="2195895" cy="547305"/>
                      </a:xfrm>
                      <a:prstGeom prst="rect">
                        <a:avLst/>
                      </a:prstGeom>
                      <a:noFill/>
                      <a:ln>
                        <a:noFill/>
                      </a:ln>
                    </wps:spPr>
                    <wps:txbx>
                      <w:txbxContent>
                        <w:p w:rsidR="00000000" w:rsidDel="00000000" w:rsidP="00000000" w:rsidRDefault="00000000" w:rsidRPr="00000000">
                          <w:pPr>
                            <w:spacing w:after="0" w:before="0" w:line="300"/>
                            <w:ind w:left="0" w:right="0" w:firstLine="0"/>
                            <w:jc w:val="center"/>
                            <w:textDirection w:val="btLr"/>
                          </w:pPr>
                          <w:r w:rsidDel="00000000" w:rsidR="00000000" w:rsidRPr="00000000">
                            <w:rPr>
                              <w:rFonts w:ascii="Quicksand" w:cs="Quicksand" w:eastAsia="Quicksand" w:hAnsi="Quicksand"/>
                              <w:b w:val="0"/>
                              <w:i w:val="0"/>
                              <w:smallCaps w:val="0"/>
                              <w:strike w:val="0"/>
                              <w:color w:val="ffffff"/>
                              <w:sz w:val="18"/>
                              <w:vertAlign w:val="baseline"/>
                            </w:rPr>
                            <w:t xml:space="preserve">+++INS escritorio_endereco+++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3394392</wp:posOffset>
              </wp:positionH>
              <wp:positionV relativeFrom="paragraph">
                <wp:posOffset>-493076</wp:posOffset>
              </wp:positionV>
              <wp:extent cx="2205420" cy="556830"/>
              <wp:effectExtent b="0" l="0" r="0" t="0"/>
              <wp:wrapNone/>
              <wp:docPr id="2061165511"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2205420" cy="5568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
      <w:t>+++IF tem_logo+++</w:t>
    </w:r>
  </w:p>
  <w:p>
    <w:pPr>
      <w:pBdr>
        <w:top w:space="0" w:sz="0" w:val="nil"/>
        <w:left w:space="0" w:sz="0" w:val="nil"/>
        <w:bottom w:space="0" w:sz="0" w:val="nil"/>
        <w:right w:space="0" w:sz="0" w:val="nil"/>
        <w:between w:space="0" w:sz="0" w:val="nil"/>
      </w:pBdr>
      <w:tabs>
        <w:tab w:val="center" w:leader="none" w:pos="4252"/>
        <w:tab w:val="right" w:leader="none" w:pos="8504"/>
      </w:tabs>
      <w:spacing w:after="360" w:line="240" w:lineRule="auto"/>
      <w:jc w:val="right"/>
      <w:rPr>
        <w:color w:val="000000"/>
      </w:rPr>
    </w:pPr>
    <w:r>
      <w:t>+++IMAGE logo()+++</w:t>
    </w:r>
  </w:p>
  <w:p>
    <w:r>
      <w:t>+++END-IF+++</w:t>
    </w:r>
  </w:p>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
      <w:t>+++IF tem_logo+++</w:t>
    </w:r>
  </w:p>
  <w:p>
    <w:pPr>
      <w:pBdr>
        <w:top w:space="0" w:sz="0" w:val="nil"/>
        <w:left w:space="0" w:sz="0" w:val="nil"/>
        <w:bottom w:space="0" w:sz="0" w:val="nil"/>
        <w:right w:space="0" w:sz="0" w:val="nil"/>
        <w:between w:space="0" w:sz="0" w:val="nil"/>
      </w:pBdr>
      <w:tabs>
        <w:tab w:val="center" w:leader="none" w:pos="4252"/>
        <w:tab w:val="right" w:leader="none" w:pos="8504"/>
      </w:tabs>
      <w:spacing w:after="360" w:line="240" w:lineRule="auto"/>
      <w:jc w:val="center"/>
      <w:rPr>
        <w:color w:val="000000"/>
      </w:rPr>
    </w:pPr>
    <w:r>
      <w:t>+++IMAGE logo()+++</w:t>
    </w:r>
  </w:p>
  <w:p>
    <w:r>
      <w:t>+++END-IF+++</w:t>
    </w:r>
  </w:p>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uiPriority w:val="99"/>
    <w:semiHidden w:val="1"/>
    <w:unhideWhenUsed w:val="1"/>
    <w:rsid w:val="00BC73A0"/>
    <w:pPr>
      <w:spacing w:after="100" w:afterAutospacing="1" w:before="100" w:beforeAutospacing="1" w:line="240" w:lineRule="auto"/>
    </w:pPr>
    <w:rPr>
      <w:rFonts w:ascii="Times New Roman" w:cs="Times New Roman" w:eastAsia="Times New Roman" w:hAnsi="Times New Roman"/>
      <w:sz w:val="24"/>
      <w:szCs w:val="24"/>
    </w:rPr>
  </w:style>
  <w:style w:type="paragraph" w:styleId="Cabealho">
    <w:name w:val="header"/>
    <w:basedOn w:val="Normal"/>
    <w:link w:val="CabealhoChar"/>
    <w:uiPriority w:val="99"/>
    <w:unhideWhenUsed w:val="1"/>
    <w:rsid w:val="00CF660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CF660C"/>
  </w:style>
  <w:style w:type="paragraph" w:styleId="Rodap">
    <w:name w:val="footer"/>
    <w:basedOn w:val="Normal"/>
    <w:link w:val="RodapChar"/>
    <w:uiPriority w:val="99"/>
    <w:unhideWhenUsed w:val="1"/>
    <w:rsid w:val="00CF660C"/>
    <w:pPr>
      <w:tabs>
        <w:tab w:val="center" w:pos="4252"/>
        <w:tab w:val="right" w:pos="8504"/>
      </w:tabs>
      <w:spacing w:after="0" w:line="240" w:lineRule="auto"/>
    </w:pPr>
  </w:style>
  <w:style w:type="character" w:styleId="RodapChar" w:customStyle="1">
    <w:name w:val="Rodapé Char"/>
    <w:basedOn w:val="Fontepargpadro"/>
    <w:link w:val="Rodap"/>
    <w:uiPriority w:val="99"/>
    <w:rsid w:val="00CF660C"/>
  </w:style>
  <w:style w:type="character" w:styleId="TextodoEspaoReservado">
    <w:name w:val="Placeholder Text"/>
    <w:basedOn w:val="Fontepargpadro"/>
    <w:uiPriority w:val="99"/>
    <w:semiHidden w:val="1"/>
    <w:rsid w:val="00987ECD"/>
    <w:rPr>
      <w:color w:val="808080"/>
    </w:rPr>
  </w:style>
  <w:style w:type="paragraph" w:styleId="PargrafodaLista">
    <w:name w:val="List Paragraph"/>
    <w:basedOn w:val="Normal"/>
    <w:uiPriority w:val="34"/>
    <w:qFormat w:val="1"/>
    <w:rsid w:val="00CB36D5"/>
    <w:pPr>
      <w:ind w:left="720"/>
      <w:contextualSpacing w:val="1"/>
    </w:pPr>
  </w:style>
  <w:style w:type="character" w:styleId="Hyperlink">
    <w:name w:val="Hyperlink"/>
    <w:basedOn w:val="Fontepargpadro"/>
    <w:uiPriority w:val="99"/>
    <w:unhideWhenUsed w:val="1"/>
    <w:rsid w:val="0031629C"/>
    <w:rPr>
      <w:color w:val="0563c1" w:themeColor="hyperlink"/>
      <w:u w:val="single"/>
    </w:rPr>
  </w:style>
  <w:style w:type="character" w:styleId="MenoPendente">
    <w:name w:val="Unresolved Mention"/>
    <w:basedOn w:val="Fontepargpadro"/>
    <w:uiPriority w:val="99"/>
    <w:semiHidden w:val="1"/>
    <w:unhideWhenUsed w:val="1"/>
    <w:rsid w:val="0031629C"/>
    <w:rPr>
      <w:color w:val="605e5c"/>
      <w:shd w:color="auto" w:fill="e1dfdd" w:val="clear"/>
    </w:rPr>
  </w:style>
  <w:style w:type="paragraph" w:styleId="Textodebalo">
    <w:name w:val="Balloon Text"/>
    <w:basedOn w:val="Normal"/>
    <w:link w:val="TextodebaloChar"/>
    <w:uiPriority w:val="99"/>
    <w:semiHidden w:val="1"/>
    <w:unhideWhenUsed w:val="1"/>
    <w:rsid w:val="00457AC6"/>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457AC6"/>
    <w:rPr>
      <w:rFonts w:ascii="Segoe UI" w:cs="Segoe UI" w:hAnsi="Segoe UI"/>
      <w:sz w:val="18"/>
      <w:szCs w:val="18"/>
    </w:rPr>
  </w:style>
  <w:style w:type="paragraph" w:styleId="Legenda">
    <w:name w:val="caption"/>
    <w:basedOn w:val="Normal"/>
    <w:next w:val="Normal"/>
    <w:uiPriority w:val="35"/>
    <w:unhideWhenUsed w:val="1"/>
    <w:qFormat w:val="1"/>
    <w:rsid w:val="00D32A21"/>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s>
</file>

<file path=word/_rels/header1.xml.rels><?xml version='1.0' encoding='UTF-8' standalone='yes'?>
<Relationships xmlns="http://schemas.openxmlformats.org/package/2006/relationships"/>
</file>

<file path=word/_rels/header2.xml.rels><?xml version='1.0' encoding='UTF-8' standalone='yes'?>
<Relationships xmlns="http://schemas.openxmlformats.org/package/2006/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t/ZbMde3SNLX0HU65YcE0NyIw==">CgMxLjAaHwoBMBIaChgICVIUChJ0YWJsZS5mbWE2M2VybWo3emwaMAoBMRIrCikIB0IlChFRdWF0dHJvY2VudG8gU2FucxIQQXJpYWwgVW5pY29kZSBNUzIIaC5namRneHMyDmguZXM2OWhjcGpid3JhMgloLjNkeTZ2a204AHIhMTd6ejRDQ2dFUHB3VUdndGY5MVdGS3dMb25SZjdlemVB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2026-03-17T14:36:00Z</dcterms:created>
  <dc:creator>TributÁgil</dc:creator>
</cp:coreProperties>
</file>