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276" w:lineRule="auto"/>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03">
      <w:pPr>
        <w:jc w:val="both"/>
        <w:rPr>
          <w:rFonts w:ascii="Quattrocento Sans" w:cs="Quattrocento Sans" w:eastAsia="Quattrocento Sans" w:hAnsi="Quattrocento Sans"/>
          <w:b w:val="1"/>
          <w:bCs w:val="1"/>
        </w:rPr>
      </w:pPr>
      <w:bookmarkStart w:colFirst="0" w:colLast="0" w:name="_heading=h.gjdgxs" w:id="0"/>
      <w:bookmarkEnd w:id="0"/>
      <w:r w:rsidDel="00000000" w:rsidR="00000000" w:rsidRPr="00000000">
        <w:rPr>
          <w:rFonts w:ascii="Quattrocento Sans" w:cs="Quattrocento Sans" w:eastAsia="Quattrocento Sans" w:hAnsi="Quattrocento Sans"/>
          <w:b w:val="1"/>
          <w:bCs w:val="1"/>
          <w:rtl w:val="0"/>
        </w:rPr>
        <w:t xml:space="preserve">AO JUÍZO DA 3ª VARA FEDERAL DE EXECUÇÃO FISCAL DA SEÇÃO JUDICIÁRIA DE SALVADOR/BA.</w:t>
      </w:r>
    </w:p>
    <w:p w:rsidR="00000000" w:rsidDel="00000000" w:rsidP="00000000" w:rsidRDefault="00000000" w:rsidRPr="00000000" w14:paraId="00000004">
      <w:pPr>
        <w:jc w:val="both"/>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05">
      <w:pPr>
        <w:jc w:val="both"/>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06">
      <w:pPr>
        <w:jc w:val="both"/>
        <w:rPr>
          <w:rFonts w:ascii="Quattrocento Sans" w:cs="Quattrocento Sans" w:eastAsia="Quattrocento Sans" w:hAnsi="Quattrocento Sans"/>
          <w:b w:val="1"/>
          <w:bCs w:val="1"/>
          <w:i w:val="1"/>
          <w:iCs w:val="1"/>
          <w:highlight w:val="yellow"/>
        </w:rPr>
      </w:pPr>
      <w:r w:rsidDel="00000000" w:rsidR="00000000" w:rsidRPr="00000000">
        <w:rPr>
          <w:rFonts w:ascii="Quattrocento Sans" w:cs="Quattrocento Sans" w:eastAsia="Quattrocento Sans" w:hAnsi="Quattrocento Sans"/>
          <w:b w:val="1"/>
          <w:bCs w:val="1"/>
          <w:i w:val="1"/>
          <w:iCs w:val="1"/>
          <w:rtl w:val="0"/>
        </w:rPr>
        <w:t xml:space="preserve">Execução Fiscal n.º </w:t>
        <w:t xml:space="preserve">5555555-10.2015.4.01.3300</w:t>
      </w:r>
      <w:r w:rsidDel="00000000" w:rsidR="00000000" w:rsidRPr="00000000">
        <w:rPr>
          <w:rtl w:val="0"/>
        </w:rPr>
      </w:r>
    </w:p>
    <w:p w:rsidR="00000000" w:rsidDel="00000000" w:rsidP="00000000" w:rsidRDefault="00000000" w:rsidRPr="00000000" w14:paraId="00000007">
      <w:pPr>
        <w:jc w:val="both"/>
        <w:rPr>
          <w:rFonts w:ascii="Quattrocento Sans" w:cs="Quattrocento Sans" w:eastAsia="Quattrocento Sans" w:hAnsi="Quattrocento Sans"/>
          <w:b w:val="1"/>
          <w:bCs w:val="1"/>
        </w:rPr>
      </w:pPr>
      <w:r w:rsidDel="00000000" w:rsidR="00000000" w:rsidRPr="00000000">
        <w:rPr>
          <w:rtl w:val="0"/>
        </w:rPr>
      </w:r>
    </w:p>
    <w:p>
      <w:pPr>
        <w:spacing w:after="0" w:lineRule="auto"/>
        <w:jc w:val="both"/>
        <w:rPr>
          <w:rFonts w:ascii="Quattrocento Sans" w:cs="Quattrocento Sans" w:eastAsia="Quattrocento Sans" w:hAnsi="Quattrocento Sans"/>
        </w:rPr>
      </w:pPr>
      <w:r>
        <w:rPr>
          <w:rFonts w:ascii="Quattrocento Sans" w:cs="Quattrocento Sans" w:eastAsia="Quattrocento Sans" w:hAnsi="Quattrocento Sans"/>
          <w:b/>
          <w:bCs/>
          <w:rtl w:val="0"/>
        </w:rPr>
        <w:t xml:space="preserve">Maria Exemplo da Silva</w:t>
      </w:r>
      <w:r>
        <w:rPr>
          <w:rFonts w:ascii="Quattrocento Sans" w:cs="Quattrocento Sans" w:eastAsia="Quattrocento Sans" w:hAnsi="Quattrocento Sans"/>
          <w:rtl w:val="0"/>
        </w:rPr>
        <w:t xml:space="preserve">, já devidamente qualificado(a) nos autos em epígrafe, por intermédio de </w:t>
        <w:t xml:space="preserve">suas advogadas</w:t>
        <w:t xml:space="preserve"> que esta </w:t>
        <w:t xml:space="preserve">subscrevem</w:t>
        <w:t xml:space="preserve">, </w:t>
        <w:t xml:space="preserve">constituídas</w:t>
        <w:t xml:space="preserve"> mediante instrumento de mandato anexo (Doc. </w:t>
      </w:r>
      <w:r>
        <w:rPr>
          <w:rFonts w:ascii="Quattrocento Sans" w:cs="Quattrocento Sans" w:eastAsia="Quattrocento Sans" w:hAnsi="Quattrocento Sans"/>
          <w:highlight w:val="yellow"/>
          <w:rtl w:val="0"/>
        </w:rPr>
        <w:t xml:space="preserve">[PREENCHER: nº do Doc. – mandato]</w:t>
      </w:r>
      <w:r>
        <w:rPr>
          <w:rFonts w:ascii="Quattrocento Sans" w:cs="Quattrocento Sans" w:eastAsia="Quattrocento Sans" w:hAnsi="Quattrocento Sans"/>
          <w:rtl w:val="0"/>
        </w:rPr>
        <w:t xml:space="preserve">), vem, respeitosamente, a Vossa Excelência, opor a presente </w:t>
      </w:r>
    </w:p>
    <w:p w:rsidR="00000000" w:rsidDel="00000000" w:rsidP="00000000" w:rsidRDefault="00000000" w:rsidRPr="00000000" w14:paraId="00000009">
      <w:pPr>
        <w:jc w:val="both"/>
        <w:rPr>
          <w:rFonts w:ascii="Quattrocento Sans" w:cs="Quattrocento Sans" w:eastAsia="Quattrocento Sans" w:hAnsi="Quattrocento Sans"/>
          <w:b w:val="1"/>
          <w:bCs w:val="1"/>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-5153</wp:posOffset>
                </wp:positionH>
                <wp:positionV relativeFrom="paragraph">
                  <wp:posOffset>186161</wp:posOffset>
                </wp:positionV>
                <wp:extent cx="5643636" cy="394335"/>
                <wp:effectExtent b="0" l="0" r="0" t="0"/>
                <wp:wrapNone/>
                <wp:docPr id="2061165518" name=""/>
                <a:graphic>
                  <a:graphicData uri="http://schemas.microsoft.com/office/word/2010/wordprocessingShape">
                    <wps:wsp>
                      <wps:cNvSpPr/>
                      <wps:cNvPr id="27" name="Shape 27"/>
                      <wps:spPr>
                        <a:xfrm>
                          <a:off x="2528945" y="3587595"/>
                          <a:ext cx="5634111" cy="384810"/>
                        </a:xfrm>
                        <a:prstGeom prst="roundRect">
                          <a:avLst>
                            <a:gd fmla="val 16667" name="adj"/>
                          </a:avLst>
                        </a:prstGeom>
                        <a:solidFill>
                          <a:srgbClr val="7B7B7B"/>
                        </a:solidFill>
                        <a:ln>
                          <a:noFill/>
                        </a:ln>
                      </wps:spPr>
                      <wps:txbx>
                        <w:txbxContent>
                          <w:p w:rsidR="00000000" w:rsidDel="00000000" w:rsidP="00000000" w:rsidRDefault="00000000" w:rsidRPr="00000000">
                            <w:pPr>
                              <w:spacing w:after="160" w:before="0" w:line="300"/>
                              <w:ind w:left="0" w:right="0" w:firstLine="0"/>
                              <w:jc w:val="left"/>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-5153</wp:posOffset>
                </wp:positionH>
                <wp:positionV relativeFrom="paragraph">
                  <wp:posOffset>186161</wp:posOffset>
                </wp:positionV>
                <wp:extent cx="5643636" cy="394335"/>
                <wp:effectExtent b="0" l="0" r="0" t="0"/>
                <wp:wrapNone/>
                <wp:docPr id="2061165519"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5643636" cy="394335"/>
                        </a:xfrm>
                        <a:prstGeom prst="rect"/>
                        <a:ln/>
                      </pic:spPr>
                    </pic:pic>
                  </a:graphicData>
                </a:graphic>
              </wp:anchor>
            </w:drawing>
          </mc:Fallback>
        </mc:AlternateContent>
      </w:r>
    </w:p>
    <w:p w:rsidR="00000000" w:rsidDel="00000000" w:rsidP="00000000" w:rsidRDefault="00000000" w:rsidRPr="00000000" w14:paraId="0000000A">
      <w:pPr>
        <w:jc w:val="center"/>
        <w:rPr>
          <w:rFonts w:ascii="Quattrocento Sans" w:cs="Quattrocento Sans" w:eastAsia="Quattrocento Sans" w:hAnsi="Quattrocento Sans"/>
          <w:b w:val="1"/>
          <w:bCs w:val="1"/>
          <w:color w:val="ffffff"/>
        </w:rPr>
      </w:pPr>
      <w:r w:rsidDel="00000000" w:rsidR="00000000" w:rsidRPr="00000000">
        <w:rPr>
          <w:rFonts w:ascii="Quattrocento Sans" w:cs="Quattrocento Sans" w:eastAsia="Quattrocento Sans" w:hAnsi="Quattrocento Sans"/>
          <w:b w:val="1"/>
          <w:bCs w:val="1"/>
          <w:color w:val="ffffff"/>
          <w:rtl w:val="0"/>
        </w:rPr>
        <w:t xml:space="preserve">EXCEÇÃO DE PRÉ-EXECUTIVIDADE</w:t>
      </w:r>
    </w:p>
    <w:p w:rsidR="00000000" w:rsidDel="00000000" w:rsidP="00000000" w:rsidRDefault="00000000" w:rsidRPr="00000000" w14:paraId="0000000B">
      <w:pPr>
        <w:spacing w:before="240"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em razão dos fatos e fundamentos que doravante serão expostos. </w:t>
      </w:r>
    </w:p>
    <w:p w:rsidR="00000000" w:rsidDel="00000000" w:rsidP="00000000" w:rsidRDefault="00000000" w:rsidRPr="00000000" w14:paraId="0000000C">
      <w:pPr>
        <w:jc w:val="both"/>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0D">
      <w:pPr>
        <w:spacing w:after="0" w:line="240"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PRELIMINARMENTE</w:t>
      </w:r>
    </w:p>
    <w:p w:rsidR="00000000" w:rsidDel="00000000" w:rsidP="00000000" w:rsidRDefault="00000000" w:rsidRPr="00000000" w14:paraId="0000000E">
      <w:pPr>
        <w:spacing w:after="0" w:line="240" w:lineRule="auto"/>
        <w:jc w:val="both"/>
        <w:rPr>
          <w:rFonts w:ascii="Quattrocento Sans" w:cs="Quattrocento Sans" w:eastAsia="Quattrocento Sans" w:hAnsi="Quattrocento Sans"/>
          <w:i w:val="1"/>
          <w:iCs w:val="1"/>
        </w:rPr>
      </w:pPr>
      <w:r w:rsidDel="00000000" w:rsidR="00000000" w:rsidRPr="00000000">
        <w:rPr>
          <w:rFonts w:ascii="Quattrocento Sans" w:cs="Quattrocento Sans" w:eastAsia="Quattrocento Sans" w:hAnsi="Quattrocento Sans"/>
          <w:i w:val="1"/>
          <w:iCs w:val="1"/>
          <w:rtl w:val="0"/>
        </w:rPr>
        <w:t xml:space="preserve">Quadro sinóptico</w:t>
      </w:r>
    </w:p>
    <w:p w:rsidR="00000000" w:rsidDel="00000000" w:rsidP="00000000" w:rsidRDefault="00000000" w:rsidRPr="00000000" w14:paraId="0000000F">
      <w:pPr>
        <w:jc w:val="both"/>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300" w:lineRule="auto"/>
        <w:ind w:left="0" w:right="0" w:firstLine="0"/>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Com o escopo de conferir celeridade à cognição judicial e evidenciar a patente causa extintiva do crédito tributário exequendo, sintetizam-se as teses basilares que fundamentam este pleito no quadro sinóptico a seguir:</w:t>
      </w:r>
    </w:p>
    <w:tbl>
      <w:tblPr>
        <w:tblW w:w="9000" w:type="dxa"/>
        <w:jc w:val="lef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Layout w:type="fixed"/>
        <w:tblLook w:val="0000"/>
      </w:tblPr>
      <w:tblGrid>
        <w:gridCol w:w="3200"/>
        <w:gridCol w:w="5800"/>
      </w:tblGrid>
      <w:tr>
        <w:trPr>
          <w:cantSplit/>
          <w:tblHeader/>
        </w:trPr>
        <w:tc>
          <w:tcPr>
            <w:tcW w:w="3200" w:type="dxa"/>
            <w:tcBorders>
              <w:top w:val="single" w:sz="4" w:space="0" w:color="d1d5db"/>
              <w:left w:val="single" w:sz="4" w:space="0" w:color="d1d5db"/>
              <w:bottom w:val="single" w:sz="4" w:space="0" w:color="d1d5db"/>
              <w:right w:val="single" w:sz="4" w:space="0" w:color="d1d5db"/>
            </w:tcBorders>
            <w:shd w:val="clear" w:color="auto" w:fill="e5e7eb"/>
            <w:tcMar>
              <w:top w:w="115" w:type="dxa"/>
              <w:left w:w="144" w:type="dxa"/>
              <w:bottom w:w="115" w:type="dxa"/>
              <w:right w:w="144" w:type="dxa"/>
            </w:tcMar>
          </w:tcPr>
          <w:p>
            <w:pPr>
              <w:spacing w:before="60" w:after="60" w:line="276" w:lineRule="auto"/>
              <w:jc w:val="center"/>
            </w:pPr>
            <w:r>
              <w:rPr>
                <w:rFonts w:ascii="Quattrocento Sans" w:hAnsi="Quattrocento Sans" w:cs="Quattrocento Sans"/>
                <w:b/>
                <w:bCs/>
                <w:sz w:val="22"/>
                <w:szCs w:val="22"/>
              </w:rPr>
              <w:t xml:space="preserve">Tese</w:t>
            </w:r>
          </w:p>
        </w:tc>
        <w:tc>
          <w:tcPr>
            <w:tcW w:w="5800" w:type="dxa"/>
            <w:tcBorders>
              <w:top w:val="single" w:sz="4" w:space="0" w:color="d1d5db"/>
              <w:left w:val="single" w:sz="4" w:space="0" w:color="d1d5db"/>
              <w:bottom w:val="single" w:sz="4" w:space="0" w:color="d1d5db"/>
              <w:right w:val="single" w:sz="4" w:space="0" w:color="d1d5db"/>
            </w:tcBorders>
            <w:shd w:val="clear" w:color="auto" w:fill="e5e7eb"/>
            <w:tcMar>
              <w:top w:w="115" w:type="dxa"/>
              <w:left w:w="144" w:type="dxa"/>
              <w:bottom w:w="115" w:type="dxa"/>
              <w:right w:w="144" w:type="dxa"/>
            </w:tcMar>
          </w:tcPr>
          <w:p>
            <w:pPr>
              <w:spacing w:before="60" w:after="60" w:line="276" w:lineRule="auto"/>
              <w:jc w:val="center"/>
            </w:pPr>
            <w:r>
              <w:rPr>
                <w:rFonts w:ascii="Quattrocento Sans" w:hAnsi="Quattrocento Sans" w:cs="Quattrocento Sans"/>
                <w:b/>
                <w:bCs/>
                <w:sz w:val="22"/>
                <w:szCs w:val="22"/>
              </w:rPr>
              <w:t xml:space="preserve">Fundamento</w:t>
            </w:r>
          </w:p>
        </w:tc>
      </w:tr>
      <w:tr>
        <w:trPr>
          <w:cantSplit/>
        </w:trPr>
        <w:tc>
          <w:tcPr>
            <w:tcW w:w="32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Prescrição intercorrente consumada</w:t>
            </w:r>
          </w:p>
        </w:tc>
        <w:tc>
          <w:tcPr>
            <w:tcW w:w="58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b/>
                <w:bCs/>
                <w:sz w:val="22"/>
                <w:szCs w:val="22"/>
              </w:rPr>
              <w:t xml:space="preserve">Art. 40, §§ 1º a 4º, da Lei nº 6.830/1980; art. 156, V, do CTN; Súmula 314/STJ</w:t>
            </w:r>
          </w:p>
        </w:tc>
      </w:tr>
      <w:tr>
        <w:trPr>
          <w:cantSplit/>
        </w:trPr>
        <w:tc>
          <w:tcPr>
            <w:tcW w:w="32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Início automático dos prazos, independentemente de decisão judicial</w:t>
            </w:r>
          </w:p>
        </w:tc>
        <w:tc>
          <w:tcPr>
            <w:tcW w:w="58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b/>
                <w:bCs/>
                <w:sz w:val="22"/>
                <w:szCs w:val="22"/>
              </w:rPr>
              <w:t xml:space="preserve">REsp 1.340.553/RS (Temas 566 a 571/STJ); RE 636.562/SC (Tema 390/STF)</w:t>
            </w:r>
          </w:p>
        </w:tc>
      </w:tr>
      <w:tr>
        <w:trPr>
          <w:cantSplit/>
        </w:trPr>
        <w:tc>
          <w:tcPr>
            <w:tcW w:w="32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Ausência de citação e de constrição patrimonial efetiva no período</w:t>
            </w:r>
          </w:p>
        </w:tc>
        <w:tc>
          <w:tcPr>
            <w:tcW w:w="58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b/>
                <w:bCs/>
                <w:sz w:val="22"/>
                <w:szCs w:val="22"/>
              </w:rPr>
              <w:t xml:space="preserve">REsp 1.340.553/RS</w:t>
            </w:r>
          </w:p>
        </w:tc>
      </w:tr>
      <w:tr>
        <w:trPr>
          <w:cantSplit/>
        </w:trPr>
        <w:tc>
          <w:tcPr>
            <w:tcW w:w="32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Matéria de ordem pública, cognoscível de ofício</w:t>
            </w:r>
          </w:p>
        </w:tc>
        <w:tc>
          <w:tcPr>
            <w:tcW w:w="58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b/>
                <w:bCs/>
                <w:sz w:val="22"/>
                <w:szCs w:val="22"/>
              </w:rPr>
              <w:t xml:space="preserve">Art. 40, § 4º, da LEF; art. 803, parágrafo único, do CPC; Súmula 393/STJ</w:t>
            </w:r>
          </w:p>
        </w:tc>
      </w:tr>
    </w:tbl>
    <w:p w:rsidR="00000000" w:rsidDel="00000000" w:rsidP="00000000" w:rsidRDefault="00000000" w:rsidRPr="00000000" w14:paraId="00000019">
      <w:pPr>
        <w:pStyle w:val="Heading3"/>
        <w:keepNext w:val="0"/>
        <w:keepLines w:val="0"/>
        <w:spacing w:after="120" w:before="240" w:line="276" w:lineRule="auto"/>
        <w:rPr>
          <w:rFonts w:ascii="Quattrocento Sans" w:cs="Quattrocento Sans" w:eastAsia="Quattrocento Sans" w:hAnsi="Quattrocento Sans"/>
          <w:color w:val="c47678"/>
          <w:sz w:val="22"/>
          <w:szCs w:val="22"/>
        </w:rPr>
      </w:pPr>
      <w:bookmarkStart w:colFirst="0" w:colLast="0" w:name="_heading=h.es69hcpjbwra" w:id="1"/>
      <w:bookmarkEnd w:id="1"/>
      <w:r w:rsidDel="00000000" w:rsidR="00000000" w:rsidRPr="00000000">
        <w:rPr>
          <w:rtl w:val="0"/>
        </w:rPr>
      </w:r>
    </w:p>
    <w:p w:rsidR="00000000" w:rsidDel="00000000" w:rsidP="00000000" w:rsidRDefault="00000000" w:rsidRPr="00000000" w14:paraId="0000001A">
      <w:pPr>
        <w:jc w:val="both"/>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1B">
      <w:pPr>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DOS FATOS </w:t>
        <w:tab/>
      </w:r>
    </w:p>
    <w:p>
      <w:pPr>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Trata-se de execução fiscal ajuizada em </w:t>
      </w:r>
      <w:r>
        <w:rPr>
          <w:rFonts w:ascii="Quattrocento Sans" w:cs="Quattrocento Sans" w:eastAsia="Quattrocento Sans" w:hAnsi="Quattrocento Sans"/>
          <w:b/>
          <w:bCs/>
          <w:rtl w:val="0"/>
        </w:rPr>
        <w:t xml:space="preserve">15/05/2015</w:t>
      </w:r>
      <w:r>
        <w:rPr>
          <w:rFonts w:ascii="Quattrocento Sans" w:cs="Quattrocento Sans" w:eastAsia="Quattrocento Sans" w:hAnsi="Quattrocento Sans"/>
          <w:rtl w:val="0"/>
        </w:rPr>
        <w:t xml:space="preserve"> pela </w:t>
        <w:t xml:space="preserve">União (Fazenda Nacional)</w:t>
        <w:t xml:space="preserve"> em desfavor de </w:t>
        <w:t xml:space="preserve">Maria Exemplo da Silva</w:t>
        <w:t xml:space="preserve">, para cobrança do crédito tributário materializado na(s) Certidão(ões) de Dívida Ativa nº </w:t>
        <w:t xml:space="preserve">44 1 15 000999-00</w:t>
        <w:t xml:space="preserve">.</w:t>
      </w:r>
    </w:p>
    <w:p>
      <w:pPr>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No curso do processo, a Fazenda Pública tomou ciência, em </w:t>
      </w:r>
      <w:r>
        <w:rPr>
          <w:rFonts w:ascii="Quattrocento Sans" w:cs="Quattrocento Sans" w:eastAsia="Quattrocento Sans" w:hAnsi="Quattrocento Sans"/>
          <w:b/>
          <w:bCs/>
          <w:rtl w:val="0"/>
        </w:rPr>
        <w:t xml:space="preserve">10/03/2017</w:t>
      </w:r>
      <w:r>
        <w:rPr>
          <w:rFonts w:ascii="Quattrocento Sans" w:cs="Quattrocento Sans" w:eastAsia="Quattrocento Sans" w:hAnsi="Quattrocento Sans"/>
          <w:rtl w:val="0"/>
        </w:rPr>
        <w:t xml:space="preserve">, da não localização </w:t>
        <w:t xml:space="preserve">do devedor e de bens penhoráveis</w:t>
        <w:t xml:space="preserve">, conforme </w:t>
        <w:t xml:space="preserve">certidao_oficial.pdf</w:t>
        <w:t xml:space="preserve">. A partir de então, transcorreu o prazo de 1 (um) ano de suspensão do processo, encerrado em </w:t>
      </w:r>
      <w:r>
        <w:rPr>
          <w:rFonts w:ascii="Quattrocento Sans" w:cs="Quattrocento Sans" w:eastAsia="Quattrocento Sans" w:hAnsi="Quattrocento Sans"/>
          <w:b/>
          <w:bCs/>
          <w:rtl w:val="0"/>
        </w:rPr>
        <w:t xml:space="preserve">10/03/2018</w:t>
      </w:r>
      <w:r>
        <w:rPr>
          <w:rFonts w:ascii="Quattrocento Sans" w:cs="Quattrocento Sans" w:eastAsia="Quattrocento Sans" w:hAnsi="Quattrocento Sans"/>
          <w:rtl w:val="0"/>
        </w:rPr>
        <w:t xml:space="preserve">, iniciando-se automaticamente o prazo prescricional quinquenal, que se consumou em </w:t>
      </w:r>
      <w:r>
        <w:rPr>
          <w:rFonts w:ascii="Quattrocento Sans" w:cs="Quattrocento Sans" w:eastAsia="Quattrocento Sans" w:hAnsi="Quattrocento Sans"/>
          <w:b/>
          <w:bCs/>
          <w:rtl w:val="0"/>
        </w:rPr>
        <w:t xml:space="preserve">10/03/2023</w:t>
      </w:r>
      <w:r>
        <w:rPr>
          <w:rFonts w:ascii="Quattrocento Sans" w:cs="Quattrocento Sans" w:eastAsia="Quattrocento Sans" w:hAnsi="Quattrocento Sans"/>
          <w:rtl w:val="0"/>
        </w:rPr>
        <w:t xml:space="preserve">, sem que houvesse, nesse interregno, citação ou constrição patrimonial efetiva apta a interrompê-lo.</w:t>
      </w:r>
    </w:p>
    <w:p>
      <w:pPr>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Impõe-se, assim, o reconhecimento da prescrição intercorrente e a extinção da execução, </w:t>
      </w:r>
      <w:r>
        <w:rPr>
          <w:rFonts w:ascii="Quattrocento Sans" w:cs="Quattrocento Sans" w:eastAsia="Quattrocento Sans" w:hAnsi="Quattrocento Sans"/>
          <w:b/>
          <w:bCs/>
          <w:rtl w:val="0"/>
        </w:rPr>
        <w:t xml:space="preserve">nos termos do art. 40, § 4º, da Lei nº 6.830/1980 e do art. 156, V, do CTN.</w:t>
      </w:r>
    </w:p>
    <w:p w:rsidR="00000000" w:rsidDel="00000000" w:rsidP="00000000" w:rsidRDefault="00000000" w:rsidRPr="00000000" w14:paraId="0000001E">
      <w:pPr>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É o que se passa a demonstrar.</w:t>
      </w:r>
    </w:p>
    <w:p w:rsidR="00000000" w:rsidDel="00000000" w:rsidP="00000000" w:rsidRDefault="00000000" w:rsidRPr="00000000" w14:paraId="0000001F">
      <w:pPr>
        <w:jc w:val="both"/>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20">
      <w:pPr>
        <w:spacing w:after="0" w:line="240"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DO CABIMENTO DA PRESENTE EXCEÇÃO DE PRÉ-EXECUTIVIDADE</w:t>
      </w:r>
      <w:r w:rsidDel="00000000" w:rsidR="00000000" w:rsidRPr="00000000">
        <w:pict>
          <v:shape id="2061165520" style="position:absolute;left:0;text-align:left;margin-left:379.9pt;margin-top:53.5pt;width:0;height:0;z-index:251664896;visibility:visible;mso-wrap-style:square;mso-width-percent:0;mso-height-percent:0;mso-wrap-distance-left:3.42497mm;mso-wrap-distance-top:.24997mm;mso-wrap-distance-right:3.42497mm;mso-wrap-distance-bottom:.24997mm;mso-position-horizontal:absolute;mso-position-horizontal-relative:margin;mso-position-vertical:absolute;mso-position-vertical-relative:text;mso-width-percent:0;mso-height-percent:0;mso-width-relative:page;mso-height-relative:page" o:spid="_x0000_s1027" type="#_x0000_t75" o:gfxdata="UEsDBBQABgAIAAAAIQCbMyc3DAEAAC0CAAATAAAAW0NvbnRlbnRfVHlwZXNdLnhtbISRsU7DMBRF  dyT+wfKKEqcdEEJJOpAyAkLlAyz7JbHqPFt+JrR/j5O2C1AyeLD97rlHdrk5DJaNEMg4rPgqLzgD  VE4b7Cr+sXvOHjijKFFL6xAqfgTim/r2ptwdPRBLaaSK9zH6RyFI9TBIyp0HTDetC4OMaRs64aXa  yw7EuijuhXIYAWMWJwavywZa+Wkj2x7S8ckkgCXOnk6DU1fFpffWKBmTqRhR/2jJzg15Ss4z1BtP  d0mDiz8bppvrBefca3qaYDSwNxniixyShtCBBKxd41T+P2OSHChzbWsU5E2g7Zy6OF1jG9yLtFYL  9DQy2CWWdl8YYFxA/RJtUuwdxgtdzJ9dfwM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BuhpCWHAQAAbwMAAA4AAABkcnMvZTJvRG9jLnhtbJxTXWvCMBR9H+w/  hLzPWpExiq0MZSDsw4ftB8Q0scEmN9ykVv/90taq042BL4F7Lz33nHtOJ9OdLslWoFNgUhoPhpQI  wyFXZp3Sr8+XhydKnGcmZyUYkdK9cHSa3d9NapuIERRQ5gJJADEuqW1KC+9tEkWOF0IzNwArTBhK  QM18KHEd5cjqgK7LaDQcPkY1YG4RuHAudOfdkGYtvpSC+w8pnfCkTGng5tsX23fVvFE2YckamS0U  P9BgN7DQTJmw9Ag1Z56RCtUVlFYcwYH0Aw46AikVF62GoCYeXqhZmE2jJB7zChMOxgvjlwx9f692  cMsKXVKyqt8gD46wygM9IIbD/G9AR3oOvNKBT+cCipL5EAFXKOsowUTlKcVFHp/4m+3spGCJJ13v  lwMWjxNuX4FvXG9JPL5i9uslD+HojtmaQgzMCmbW4tnZkIaQ0cbzqD/q1fJ+8hfdnUTdGB2uQHZt  jvbHHImdJ7xr8r7b43Xf9dWZmYHMj9ic1w3Rs/8k+wYAAP//AwBQSwMEFAAGAAgAAAAhAJ5kEIMQ  AgAAEgUAABAAAABkcnMvaW5rL2luazEueG1stFNRb5swEH6ftP9geQ97CWAbCAGV9GmRJm3S1HbS  +kjBDVbBRMaE5N/vsImTqqn6sgmJs8933919/nxze2gbtOeqF53MMfUJRlyWXSXkNse/HzbeCqNe  F7Iqmk7yHB95j2/Xnz/dCPnSNhn8ESDIflq1TY5rrXdZEIzj6I+h36ltwAgJg+/y5ecPvJ6zKv4s  pNBQsj+5yk5qftATWCaqHJf6QFw8YN93gyq5O548qjxHaFWUfNOpttAOsS6k5A2SRQt9/8FIH3ew  EFBnyxVGrYCBPebTKIlW31JwFIccX+wHaLGHTlocXMd8/A+Ym7eYU1shS5YJRnNLFd9PPQWG8+z9  2X+pbseVFvxMsyVlPjii0u4NP5YoxfuuGaa7wWhfNANQRgkBWcy1aXCFkLd4wM0/xQNe3sW7bO41  NfN4lzzMpDlJna5Wi5aD0Nud05juAXhy32tlngMjLPII82j6QNMsWmYs9hOWXlzFrOIT5pMa+trh  PamzXs2JY81ONopK14504pMoTZnj/ZL1a9k1F9taf5A+D2/ynX6uvEYjKTRPc8efc/zFPEhkMq3D  jEMRRQmjy8VXAh9NY7LABD5vydiCIOKtlrGxcRgZGxHrD0M67dHK/EHexrIkNJYSE42i1B7bHbMp  FsDCzUWmKI8SA+ZF1No4saXD2IB6jBIbF7Pw1dtxTIAo1n8BAAD//wMAUEsDBBQABgAIAAAAIQAA  IefD3gAAABABAAAPAAAAZHJzL2Rvd25yZXYueG1sTE9NS8NAEL0L/odlBG92N4JW02xKsfTiQWgb  8brJjpvQ7GzIbtv03zuioJeBeW/mfRTLyffihGPsAmnIZgoEUhNsR05Dtd/cPYGIyZA1fSDUcMEI  y/L6qjC5DWfa4mmXnGARirnR0KY05FLGpkVv4iwMSMx9htGbxOvopB3NmcV9L++VepTedMQOrRnw  pcXmsDt6DR+H7NW7N7xUW1X5983aZXVYaX17M60XPFYLEAmn9PcB3x04P5QcrA5HslH0GuYPz5w/  MaHm3IwvfpD6F5FlIf8XKb8AAAD//wMAUEsDBBQABgAIAAAAIQB5GLydvwAAACEBAAAZAAAAZHJz  L19yZWxzL2Uyb0RvYy54bWwucmVsc4TPsWrEMAwG4L3QdzDaGyUdylHiZDkOspYUbjWOkpjEsrGc  0nv7euzBwQ0ahND3S23/63f1Q0lcYA1NVYMitmFyvGj4Hi9vJ1CSDU9mD0wabiTQd68v7RftJpcl  WV0UVRQWDWvO8RNR7EreSBUicZnMIXmTS5sWjMZuZiF8r+sPTP8N6O5MNUwa0jA1oMZbLMnP7TDP  ztI52MMT5wcRaA/JwV/9XlCTFsoaHG9YqqnKoYBdi3ePdX8AAAD//wMAUEsBAi0AFAAGAAgAAAAh  AJszJzcMAQAALQIAABMAAAAAAAAAAAAAAAAAAAAAAFtDb250ZW50X1R5cGVzXS54bWxQSwECLQAU  AAYACAAAACEAOP0h/9YAAACUAQAACwAAAAAAAAAAAAAAAAA9AQAAX3JlbHMvLnJlbHNQSwECLQAU  AAYACAAAACEAG6GkJYcBAABvAwAADgAAAAAAAAAAAAAAAAA8AgAAZHJzL2Uyb0RvYy54bWxQSwEC  LQAUAAYACAAAACEAnmQQgxACAAASBQAAEAAAAAAAAAAAAAAAAADvAwAAZHJzL2luay9pbmsxLnht  bFBLAQItABQABgAIAAAAIQAAIefD3gAAABABAAAPAAAAAAAAAAAAAAAAAC0GAABkcnMvZG93bnJl  di54bWxQSwECLQAUAAYACAAAACEAeRi8nb8AAAAhAQAAGQAAAAAAAAAAAAAAAAA4BwAAZHJzL19y  ZWxzL2Uyb0RvYy54bWwucmVsc1BLBQYAAAAABgAGAHgBAAAuCAAAAAA=  ">
            <v:imagedata r:id="rId1" o:title=""/>
            <w10:wrap/>
          </v:shape>
        </w:pict>
      </w:r>
      <w:r w:rsidDel="00000000" w:rsidR="00000000" w:rsidRPr="00000000">
        <w:pict>
          <v:shape id="2061165521" style="position:absolute;left:0;text-align:left;margin-left:380.0pt;margin-top:43.95pt;width:1.75pt;height:1.1pt;z-index:251665920;visibility:visible;mso-wrap-style:square;mso-width-percent:0;mso-height-percent:0;mso-wrap-distance-left:3.65844mm;mso-wrap-distance-top:.51458mm;mso-wrap-distance-right:3.65039mm;mso-wrap-distance-bottom:.50872mm;mso-position-horizontal:absolute;mso-position-horizontal-relative:margin;mso-position-vertical:absolute;mso-position-vertical-relative:text;mso-width-percent:0;mso-height-percent:0;mso-width-relative:page;mso-height-relative:page" o:spid="_x0000_s1026" type="#_x0000_t75" o:gfxdata="UEsDBBQABgAIAAAAIQCbMyc3DAEAAC0CAAATAAAAW0NvbnRlbnRfVHlwZXNdLnhtbISRsU7DMBRF  dyT+wfKKEqcdEEJJOpAyAkLlAyz7JbHqPFt+JrR/j5O2C1AyeLD97rlHdrk5DJaNEMg4rPgqLzgD  VE4b7Cr+sXvOHjijKFFL6xAqfgTim/r2ptwdPRBLaaSK9zH6RyFI9TBIyp0HTDetC4OMaRs64aXa  yw7EuijuhXIYAWMWJwavywZa+Wkj2x7S8ckkgCXOnk6DU1fFpffWKBmTqRhR/2jJzg15Ss4z1BtP  d0mDiz8bppvrBefca3qaYDSwNxniixyShtCBBKxd41T+P2OSHChzbWsU5E2g7Zy6OF1jG9yLtFYL  9DQy2CWWdl8YYFxA/RJtUuwdxgtdzJ9dfwM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B0ORP2iAQAAgQMAAA4AAABkcnMvZTJvRG9jLnhtbJxT0U7jMBB8R+If  LL/TJCUtEDVFiAoJ6e7gAT7AOHZjEXuttUvK398maWihnE7iJZJ35PHszGRxvbUNe1MYDLiSZ5OU  M+UkVMatS/78dHd2yVmIwlWiAadK/q4Cv16enixaX6gp1NBUChmRuFC0vuR1jL5IkiBrZUWYgFeO  QA1oRaQjrpMKRUvstkmmaTpPWsDKI0gVAk1XA8iXPb/WSsYHrYOKrCn5ZZ7mnMWSz89npBNpks6v  OHuhSXo158lyIYo1Cl8buZMkfqDICuNIwAfVSkTBNmiOqKyRCAF0nEiwCWhtpOr3oc2y9Mtm9+61  2yrL5QYLCS4qFx8FxtG7HvjJE7YhB9rfUFE6YhOB7xjJnv+HMYhegdxY0jMkgqoRkeoQauMD2VyY  quR4X2V7/e7tdr/BI+73+vMVEFleSP8L5GsYI8nyI2XfOrkrymBmHwpzcFsLt1Y3wVMzqK9d5slo  6tHjI/IvuVuNtguaXGDbklOn3rtv3yO1jUzScHaRzTiTBGTTix4bWYfb4+kgUpL0qTyH507uwZ+z  /AsAAP//AwBQSwMEFAAGAAgAAAAhAEiNI3UhAgAAQwUAABAAAABkcnMvaW5rL2luazEueG1stFPJ  btswEL0X6D8Q7KEXy+JmbYicUw0UaIEiSYH2qEiMRUSiDIpe8vcdkbKsIE5PLQSInO1x5vHx5vbU  NuggTa86nWO6JBhJXXaV0tsc/3zYBAlGvS10VTSdljl+kT2+XX/8cKP0c9tk8EeAoPth1zY5rq3d  ZWF4PB6XR77szDZkhPDwq37+/g2vx6pKPimtLBzZn11lp6082QEsU1WOS3siUz5g33d7U8opPHhM  ecmwpijlpjNtYSfEutBaNkgXLfT9CyP7soONgnO20mDUKhg4YEsqYpF8ScFRnHI8s/fQYg+dtDi8  jvn7P2Bu3mIObXEWRzFGY0uVPAw9hY7z7P3Zf5huJ41V8kKzJ2UMvKDS244fT5SRfdfsh7vB6FA0  e6CMEgKyGM+m4RVC3uIBN/8UD3h5F2/e3GtqxvHmPIykTZI6X61VrQSht7tJY7YH4MF9b417Doww  ERAW0PSBppmIMhaDepLZVYwqPmM+mn1fT3iP5qJXF5lY85MdVWXriXSyJKuJ9Dnl10prqba1/Vvt  OLYrnpRz5R06MaFxjjv5lONP7ikiV+kdbhCKBKJxyhafCXyCpgtM4IvTBUEEItytCRkWYMwtK+cM  Iu9MIudMY794i3IfTMWsEEVssFDkUpHwFvWZPHGZwtfz8aSVd1K3rHwKG7EF9W5GfRbjDjDg3NmI  Ur7g0HUsFpQEIqBsFb96bBOBoKL1HwAAAP//AwBQSwMEFAAGAAgAAAAhAOdQmR3lAAAADgEAAA8A  AABkcnMvZG93bnJldi54bWxMj09Pg0AQxe8mfofNmHgx7S5qoVCGxrb2bKSaeNzCCOj+Iey20G/v  etLLJC8z89775etJK3amwXXWIERzAYxMZevONAhvh/1sCcx5aWqprCGECzlYF9dXucxqO5pXOpe+  YcHEuEwitN73GeeuaklLN7c9mbD7tIOWPsih4fUgx2CuFb8XIuZadiYktLKnbUvVd3nSCG5XPt69  bFR6SbbP48fmq4/4+wLx9mbarcJ4WgHzNPm/D/hlCP2hCMWO9mRqxxRCEosA5BGWSQosHCTxwwLY  ESEVEfAi5/8xih8AAAD//wMAUEsDBBQABgAIAAAAIQB5GLydvwAAACEBAAAZAAAAZHJzL19yZWxz  L2Uyb0RvYy54bWwucmVsc4TPsWrEMAwG4L3QdzDaGyUdylHiZDkOspYUbjWOkpjEsrGc0nv7euzB  wQ0ahND3S23/63f1Q0lcYA1NVYMitmFyvGj4Hi9vJ1CSDU9mD0wabiTQd68v7RftJpclWV0UVRQW  DWvO8RNR7EreSBUicZnMIXmTS5sWjMZuZiF8r+sPTP8N6O5MNUwa0jA1oMZbLMnP7TDPztI52MMT  5wcRaA/JwV/9XlCTFsoaHG9YqqnKoYBdi3ePdX8AAAD//wMAUEsBAi0AFAAGAAgAAAAhAJszJzcM  AQAALQIAABMAAAAAAAAAAAAAAAAAAAAAAFtDb250ZW50X1R5cGVzXS54bWxQSwECLQAUAAYACAAA  ACEAOP0h/9YAAACUAQAACwAAAAAAAAAAAAAAAAA9AQAAX3JlbHMvLnJlbHNQSwECLQAUAAYACAAA  ACEAHQ5E/aIBAACBAwAADgAAAAAAAAAAAAAAAAA8AgAAZHJzL2Uyb0RvYy54bWxQSwECLQAUAAYA  CAAAACEASI0jdSECAABDBQAAEAAAAAAAAAAAAAAAAAAKBAAAZHJzL2luay9pbmsxLnhtbFBLAQIt  ABQABgAIAAAAIQDnUJkd5QAAAA4BAAAPAAAAAAAAAAAAAAAAAFkGAABkcnMvZG93bnJldi54bWxQ  SwECLQAUAAYACAAAACEAeRi8nb8AAAAhAQAAGQAAAAAAAAAAAAAAAABrBwAAZHJzL19yZWxzL2Uy  b0RvYy54bWwucmVsc1BLBQYAAAAABgAGAHgBAABhCAAAAAA=  ">
            <v:imagedata r:id="rId2" o:title=""/>
            <w10:wrap/>
          </v:shape>
        </w:pict>
      </w:r>
    </w:p>
    <w:p w:rsidR="00000000" w:rsidDel="00000000" w:rsidP="00000000" w:rsidRDefault="00000000" w:rsidRPr="00000000" w14:paraId="00000021">
      <w:pPr>
        <w:spacing w:line="240"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i w:val="1"/>
          <w:iCs w:val="1"/>
          <w:rtl w:val="0"/>
        </w:rPr>
        <w:t xml:space="preserve">Defesa do executado amparada pela doutrina e jurisprudência</w:t>
      </w:r>
      <w:r w:rsidDel="00000000" w:rsidR="00000000" w:rsidRPr="00000000">
        <w:rPr>
          <w:rFonts w:ascii="Quattrocento Sans" w:cs="Quattrocento Sans" w:eastAsia="Quattrocento Sans" w:hAnsi="Quattrocento Sans"/>
          <w:rtl w:val="0"/>
        </w:rPr>
        <w:t xml:space="preserve"> </w:t>
      </w:r>
    </w:p>
    <w:p w:rsidR="00000000" w:rsidDel="00000000" w:rsidP="00000000" w:rsidRDefault="00000000" w:rsidRPr="00000000" w14:paraId="00000022">
      <w:pPr>
        <w:jc w:val="both"/>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23">
      <w:pPr>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 exceção de pré-executividade consubstancia mecanismo de defesa do executado que prescinde de segurança prévia, revelando-se como instrumento de justiça desenvolvido pela doutrina e pela jurisprudência e de aceitação pacífica no ordenamento jurídico. </w:t>
      </w:r>
    </w:p>
    <w:p w:rsidR="00000000" w:rsidDel="00000000" w:rsidP="00000000" w:rsidRDefault="00000000" w:rsidRPr="00000000" w14:paraId="00000024">
      <w:pPr>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Trata-se de saudável construção engendrada pelos processualistas pátrios com fito de propiciar, ao coagido por execução irregular, resistência aos atos executórios, trazendo à apreciação do julgador as nulidades que maculam o procedimento executivo. De modo simplista, trata-se de pedido direto de extinção do processo, ainda que apenas em relação a um dos executados, independentemente do manejo dos embargos e da segurança do juízo. </w:t>
      </w:r>
    </w:p>
    <w:p w:rsidR="00000000" w:rsidDel="00000000" w:rsidP="00000000" w:rsidRDefault="00000000" w:rsidRPr="00000000" w14:paraId="00000025">
      <w:pPr>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Com efeito, de tão pacificada, a matéria restou sumulada no âmbito do STJ:</w:t>
      </w:r>
    </w:p>
    <w:p w:rsidR="00000000" w:rsidDel="00000000" w:rsidP="00000000" w:rsidRDefault="00000000" w:rsidRPr="00000000" w14:paraId="00000026">
      <w:pPr>
        <w:ind w:left="1701" w:firstLine="0"/>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Súmula 393: A exceção de pré-executividade é admissível na execução fiscal relativamente às matérias conhecíveis de ofício que não demandem dilação probatória.</w:t>
      </w:r>
      <w:r w:rsidDel="00000000" w:rsidR="00000000" w:rsidRPr="00000000">
        <w:rPr>
          <w:rFonts w:ascii="Quattrocento Sans" w:cs="Quattrocento Sans" w:eastAsia="Quattrocento Sans" w:hAnsi="Quattrocento Sans"/>
          <w:rtl w:val="0"/>
        </w:rPr>
        <w:t xml:space="preserve"> </w:t>
      </w:r>
    </w:p>
    <w:p w:rsidR="00000000" w:rsidDel="00000000" w:rsidP="00000000" w:rsidRDefault="00000000" w:rsidRPr="00000000" w14:paraId="00000027">
      <w:pPr>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28">
      <w:pPr>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Ademais, o artigo 803, do CPC/2015, também confirma o cabimento da presente via, conforme disposto em seu parágrafo único: </w:t>
      </w:r>
    </w:p>
    <w:p w:rsidR="00000000" w:rsidDel="00000000" w:rsidP="00000000" w:rsidRDefault="00000000" w:rsidRPr="00000000" w14:paraId="00000029">
      <w:pPr>
        <w:spacing w:after="0" w:lineRule="auto"/>
        <w:ind w:left="1701" w:firstLine="0"/>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2A">
      <w:pPr>
        <w:spacing w:after="0" w:lineRule="auto"/>
        <w:ind w:left="1701" w:firstLine="0"/>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Art. 803 do CPC: É nula a execução se: </w:t>
      </w:r>
    </w:p>
    <w:p w:rsidR="00000000" w:rsidDel="00000000" w:rsidP="00000000" w:rsidRDefault="00000000" w:rsidRPr="00000000" w14:paraId="0000002B">
      <w:pPr>
        <w:spacing w:after="0" w:lineRule="auto"/>
        <w:ind w:left="1701" w:firstLine="0"/>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I - o título executivo extrajudicial não corresponder a obrigação certa, líquida e exigível; </w:t>
      </w:r>
    </w:p>
    <w:p w:rsidR="00000000" w:rsidDel="00000000" w:rsidP="00000000" w:rsidRDefault="00000000" w:rsidRPr="00000000" w14:paraId="0000002C">
      <w:pPr>
        <w:spacing w:after="0" w:lineRule="auto"/>
        <w:ind w:left="1701" w:firstLine="0"/>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II - o executado não for regularmente citado; </w:t>
      </w:r>
    </w:p>
    <w:p w:rsidR="00000000" w:rsidDel="00000000" w:rsidP="00000000" w:rsidRDefault="00000000" w:rsidRPr="00000000" w14:paraId="0000002D">
      <w:pPr>
        <w:spacing w:after="0" w:lineRule="auto"/>
        <w:ind w:left="1701" w:firstLine="0"/>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III - for instaurada antes de se verificar a condição ou de ocorrer o termo. </w:t>
      </w:r>
    </w:p>
    <w:p w:rsidR="00000000" w:rsidDel="00000000" w:rsidP="00000000" w:rsidRDefault="00000000" w:rsidRPr="00000000" w14:paraId="0000002E">
      <w:pPr>
        <w:ind w:left="1701" w:firstLine="0"/>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Parágrafo único. </w:t>
      </w:r>
      <w:r w:rsidDel="00000000" w:rsidR="00000000" w:rsidRPr="00000000">
        <w:rPr>
          <w:rFonts w:ascii="Quattrocento Sans" w:cs="Quattrocento Sans" w:eastAsia="Quattrocento Sans" w:hAnsi="Quattrocento Sans"/>
          <w:b w:val="1"/>
          <w:bCs w:val="1"/>
          <w:rtl w:val="0"/>
        </w:rPr>
        <w:t xml:space="preserve">A nulidade de que cuida este artigo será pronunciada pelo juiz, de ofício ou a requerimento da parte</w:t>
      </w:r>
      <w:r w:rsidDel="00000000" w:rsidR="00000000" w:rsidRPr="00000000">
        <w:rPr>
          <w:rFonts w:ascii="Quattrocento Sans" w:cs="Quattrocento Sans" w:eastAsia="Quattrocento Sans" w:hAnsi="Quattrocento Sans"/>
          <w:rtl w:val="0"/>
        </w:rPr>
        <w:t xml:space="preserve">, independentemente de embargos à execução. </w:t>
      </w:r>
    </w:p>
    <w:p w:rsidR="00000000" w:rsidDel="00000000" w:rsidP="00000000" w:rsidRDefault="00000000" w:rsidRPr="00000000" w14:paraId="0000002F">
      <w:pPr>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Destarte, considerando que as alegações trazidas ao crivo de Vossa Excelência, para além de serem passíveis de conhecimento de plano, através da simples análise dos próprios autos, não necessitam, ainda, de dilação probatória, inelutável restar cabível o manejo da presente exceção de pré-executividade a fim de demonstrar que a presente execução padece de nulidade, posto que fulminada pela prescrição.</w:t>
      </w:r>
    </w:p>
    <w:p>
      <w:pPr>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Ressalte-se que, no caso da prescrição intercorrente, a própria Lei de Execuções Fiscais autoriza o seu reconhecimento de ofício pelo magistrado (art. 40, § 4º), o que reforça tratar-se de matéria de ordem pública, aferível de plano pela simples análise da movimentação processual.</w:t>
      </w:r>
    </w:p>
    <w:p>
      <w:pPr>
        <w:jc w:val="both"/>
        <w:rPr>
          <w:rFonts w:ascii="Quattrocento Sans" w:cs="Quattrocento Sans" w:eastAsia="Quattrocento Sans" w:hAnsi="Quattrocento Sans"/>
        </w:rPr>
      </w:pPr>
    </w:p>
    <w:p>
      <w:pPr>
        <w:spacing w:after="0" w:line="240" w:lineRule="auto"/>
        <w:jc w:val="both"/>
        <w:rPr>
          <w:rFonts w:ascii="Quattrocento Sans" w:cs="Quattrocento Sans" w:eastAsia="Quattrocento Sans" w:hAnsi="Quattrocento Sans"/>
          <w:b w:val="1"/>
          <w:bCs w:val="1"/>
        </w:rPr>
      </w:pPr>
      <w:r>
        <w:rPr>
          <w:rFonts w:ascii="Quattrocento Sans" w:cs="Quattrocento Sans" w:eastAsia="Quattrocento Sans" w:hAnsi="Quattrocento Sans"/>
          <w:b/>
          <w:bCs/>
          <w:rtl w:val="0"/>
        </w:rPr>
        <w:t xml:space="preserve">DA PRESCRIÇÃO INTERCORRENTE</w:t>
      </w:r>
    </w:p>
    <w:p>
      <w:pPr>
        <w:jc w:val="both"/>
        <w:rPr>
          <w:rFonts w:ascii="Quattrocento Sans" w:cs="Quattrocento Sans" w:eastAsia="Quattrocento Sans" w:hAnsi="Quattrocento Sans"/>
          <w:i w:val="1"/>
          <w:iCs w:val="1"/>
        </w:rPr>
      </w:pPr>
      <w:r>
        <w:rPr>
          <w:rFonts w:ascii="Quattrocento Sans" w:cs="Quattrocento Sans" w:eastAsia="Quattrocento Sans" w:hAnsi="Quattrocento Sans"/>
          <w:i/>
          <w:iCs/>
          <w:rtl w:val="0"/>
        </w:rPr>
        <w:t xml:space="preserve">Perda da pretensão executória pela inércia do exequente. Extinção do crédito tributário.</w:t>
      </w:r>
    </w:p>
    <w:p>
      <w:pPr>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A prescrição intercorrente é aquela que se consuma no curso do próprio processo executivo quando, após a suspensão da execução pela não localização do devedor ou de bens penhoráveis, o exequente permanece sem promover atos efetivos de satisfação do crédito pelo prazo prescricional.</w:t>
      </w:r>
    </w:p>
    <w:p>
      <w:pPr>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Sua disciplina, no âmbito das execuções fiscais, encontra-se no art. 40 da Lei nº 6.830/1980:</w:t>
      </w:r>
    </w:p>
    <w:p>
      <w:pPr>
        <w:ind w:left="1701" w:firstLine="0"/>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Art. 40 - O Juiz suspenderá o curso da execução, enquanto não for localizado o devedor ou encontrados bens sobre os quais possa recair a penhora, e, nesses casos, não correrá o prazo de prescrição.</w:t>
      </w:r>
    </w:p>
    <w:p>
      <w:pPr>
        <w:ind w:left="1701" w:firstLine="0"/>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 1º - Suspenso o curso da execução, será aberta vista dos autos ao representante judicial da Fazenda Pública.</w:t>
      </w:r>
    </w:p>
    <w:p>
      <w:pPr>
        <w:ind w:left="1701" w:firstLine="0"/>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 2º - Decorrido o prazo máximo de 1 (um) ano, sem que seja localizado o devedor ou encontrados bens penhoráveis, o Juiz ordenará o arquivamento dos autos.</w:t>
      </w:r>
    </w:p>
    <w:p>
      <w:pPr>
        <w:ind w:left="1701" w:firstLine="0"/>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 3º - Encontrados que sejam, a qualquer tempo, o devedor ou os bens, serão desarquivados os autos para prosseguimento da execução.</w:t>
      </w:r>
    </w:p>
    <w:p>
      <w:pPr>
        <w:ind w:left="1701" w:firstLine="0"/>
        <w:jc w:val="both"/>
        <w:rPr>
          <w:rFonts w:ascii="Quattrocento Sans" w:cs="Quattrocento Sans" w:eastAsia="Quattrocento Sans" w:hAnsi="Quattrocento Sans"/>
        </w:rPr>
      </w:pPr>
      <w:r>
        <w:rPr>
          <w:rFonts w:ascii="Quattrocento Sans" w:cs="Quattrocento Sans" w:eastAsia="Quattrocento Sans" w:hAnsi="Quattrocento Sans"/>
          <w:b/>
          <w:bCs/>
          <w:rtl w:val="0"/>
        </w:rPr>
        <w:t xml:space="preserve">§ 4º Se da decisão que ordenar o arquivamento tiver decorrido o prazo prescricional, o juiz, depois de ouvida a Fazenda Pública, poderá, de ofício, reconhecer a prescrição intercorrente e decretá-la de imediato.</w:t>
      </w:r>
    </w:p>
    <w:p>
      <w:pPr>
        <w:jc w:val="both"/>
        <w:rPr>
          <w:rFonts w:ascii="Quattrocento Sans" w:cs="Quattrocento Sans" w:eastAsia="Quattrocento Sans" w:hAnsi="Quattrocento Sans"/>
        </w:rPr>
      </w:pPr>
    </w:p>
    <w:p>
      <w:pPr>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O Superior Tribunal de Justiça sedimentou a matéria na Súmula 314:</w:t>
      </w:r>
    </w:p>
    <w:p>
      <w:pPr>
        <w:ind w:left="1701" w:firstLine="0"/>
        <w:jc w:val="both"/>
        <w:rPr>
          <w:rFonts w:ascii="Quattrocento Sans" w:cs="Quattrocento Sans" w:eastAsia="Quattrocento Sans" w:hAnsi="Quattrocento Sans"/>
        </w:rPr>
      </w:pPr>
      <w:r>
        <w:rPr>
          <w:rFonts w:ascii="Quattrocento Sans" w:cs="Quattrocento Sans" w:eastAsia="Quattrocento Sans" w:hAnsi="Quattrocento Sans"/>
          <w:b/>
          <w:bCs/>
          <w:rtl w:val="0"/>
        </w:rPr>
        <w:t xml:space="preserve">Súmula 314 - Em execução fiscal, não localizados bens penhoráveis, suspende-se o processo por um ano, findo o qual se inicia o prazo da prescrição quinquenal intercorrente.</w:t>
      </w:r>
    </w:p>
    <w:p>
      <w:pPr>
        <w:jc w:val="both"/>
        <w:rPr>
          <w:rFonts w:ascii="Quattrocento Sans" w:cs="Quattrocento Sans" w:eastAsia="Quattrocento Sans" w:hAnsi="Quattrocento Sans"/>
        </w:rPr>
      </w:pPr>
    </w:p>
    <w:p>
      <w:pPr>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Posteriormente, no julgamento do Recurso Especial Repetitivo nº 1.340.553/RS (Temas 566 a 571), a Primeira Seção do STJ fixou as balizas de aplicação do art. 40 da LEF, das quais se destacam:</w:t>
      </w:r>
    </w:p>
    <w:p>
      <w:pPr>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(i) </w:t>
      </w:r>
      <w:r>
        <w:rPr>
          <w:rFonts w:ascii="Quattrocento Sans" w:cs="Quattrocento Sans" w:eastAsia="Quattrocento Sans" w:hAnsi="Quattrocento Sans"/>
          <w:b/>
          <w:bCs/>
          <w:rtl w:val="0"/>
        </w:rPr>
        <w:t xml:space="preserve">o prazo de 1 (um) ano de suspensão inicia-se automaticamente na data da ciência da Fazenda Pública a respeito da não localização do devedor ou de bens penhoráveis;</w:t>
      </w:r>
    </w:p>
    <w:p>
      <w:pPr>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(ii) havendo ou não petição da Fazenda Pública e havendo ou não pronunciamento judicial nesse sentido, </w:t>
      </w:r>
      <w:r>
        <w:rPr>
          <w:rFonts w:ascii="Quattrocento Sans" w:cs="Quattrocento Sans" w:eastAsia="Quattrocento Sans" w:hAnsi="Quattrocento Sans"/>
          <w:b/>
          <w:bCs/>
          <w:rtl w:val="0"/>
        </w:rPr>
        <w:t xml:space="preserve">findo o prazo de 1 (um) ano de suspensão inicia-se automaticamente o prazo prescricional aplicável</w:t>
      </w:r>
      <w:r>
        <w:rPr>
          <w:rFonts w:ascii="Quattrocento Sans" w:cs="Quattrocento Sans" w:eastAsia="Quattrocento Sans" w:hAnsi="Quattrocento Sans"/>
          <w:rtl w:val="0"/>
        </w:rPr>
        <w:t xml:space="preserve">, durante o qual o processo deveria estar arquivado sem baixa na distribuição, findo o qual estará consumada a prescrição intercorrente; e</w:t>
      </w:r>
    </w:p>
    <w:p>
      <w:pPr>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(iii) </w:t>
      </w:r>
      <w:r>
        <w:rPr>
          <w:rFonts w:ascii="Quattrocento Sans" w:cs="Quattrocento Sans" w:eastAsia="Quattrocento Sans" w:hAnsi="Quattrocento Sans"/>
          <w:b/>
          <w:bCs/>
          <w:rtl w:val="0"/>
        </w:rPr>
        <w:t xml:space="preserve">somente a efetiva constrição patrimonial e a efetiva citação (ainda que por edital) são aptas a interromper o curso da prescrição intercorrente</w:t>
      </w:r>
      <w:r>
        <w:rPr>
          <w:rFonts w:ascii="Quattrocento Sans" w:cs="Quattrocento Sans" w:eastAsia="Quattrocento Sans" w:hAnsi="Quattrocento Sans"/>
          <w:rtl w:val="0"/>
        </w:rPr>
        <w:t xml:space="preserve">, não bastando para tal o mero peticionamento em juízo requerendo a feitura da penhora sobre ativos financeiros ou sobre outros bens.</w:t>
      </w:r>
    </w:p>
    <w:p>
      <w:pPr>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O Supremo Tribunal Federal, por sua vez, no julgamento do RE 636.562/SC (Tema 390 da Repercussão Geral), confirmou a constitucionalidade do dispositivo, fixando a seguinte tese:</w:t>
      </w:r>
    </w:p>
    <w:p>
      <w:pPr>
        <w:ind w:left="1701" w:firstLine="0"/>
        <w:jc w:val="both"/>
        <w:rPr>
          <w:rFonts w:ascii="Quattrocento Sans" w:cs="Quattrocento Sans" w:eastAsia="Quattrocento Sans" w:hAnsi="Quattrocento Sans"/>
        </w:rPr>
      </w:pPr>
      <w:r>
        <w:rPr>
          <w:rFonts w:ascii="Quattrocento Sans" w:cs="Quattrocento Sans" w:eastAsia="Quattrocento Sans" w:hAnsi="Quattrocento Sans"/>
          <w:b/>
          <w:bCs/>
          <w:rtl w:val="0"/>
        </w:rPr>
        <w:t xml:space="preserve">Tema 390/STF - É constitucional o art. 40 da Lei nº 6.830/1980 (Lei de Execuções Fiscais – LEF), tendo natureza processual o prazo de 1 (um) ano de suspensão da execução fiscal. Após o decurso desse prazo, inicia-se automaticamente a contagem do prazo prescricional tributário de 5 (cinco) anos.</w:t>
      </w:r>
    </w:p>
    <w:p>
      <w:pPr>
        <w:jc w:val="both"/>
        <w:rPr>
          <w:rFonts w:ascii="Quattrocento Sans" w:cs="Quattrocento Sans" w:eastAsia="Quattrocento Sans" w:hAnsi="Quattrocento Sans"/>
        </w:rPr>
      </w:pPr>
    </w:p>
    <w:p>
      <w:pPr>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Em síntese: a contagem independe de decisão judicial de suspensão ou de arquivamento, e o prazo total é de </w:t>
      </w:r>
      <w:r>
        <w:rPr>
          <w:rFonts w:ascii="Quattrocento Sans" w:cs="Quattrocento Sans" w:eastAsia="Quattrocento Sans" w:hAnsi="Quattrocento Sans"/>
          <w:b/>
          <w:bCs/>
          <w:rtl w:val="0"/>
        </w:rPr>
        <w:t xml:space="preserve">6 (seis) anos</w:t>
      </w:r>
      <w:r>
        <w:rPr>
          <w:rFonts w:ascii="Quattrocento Sans" w:cs="Quattrocento Sans" w:eastAsia="Quattrocento Sans" w:hAnsi="Quattrocento Sans"/>
          <w:rtl w:val="0"/>
        </w:rPr>
        <w:t xml:space="preserve"> contados da ciência da Fazenda Pública acerca da não localização do devedor ou de bens: 1 (um) ano de suspensão somado a 5 (cinco) anos de prescrição.</w:t>
      </w:r>
    </w:p>
    <w:p>
      <w:pPr>
        <w:jc w:val="both"/>
        <w:rPr>
          <w:rFonts w:ascii="Quattrocento Sans" w:cs="Quattrocento Sans" w:eastAsia="Quattrocento Sans" w:hAnsi="Quattrocento Sans"/>
        </w:rPr>
      </w:pPr>
    </w:p>
    <w:p>
      <w:pPr>
        <w:spacing w:after="0" w:line="240" w:lineRule="auto"/>
        <w:jc w:val="both"/>
        <w:rPr>
          <w:rFonts w:ascii="Quattrocento Sans" w:cs="Quattrocento Sans" w:eastAsia="Quattrocento Sans" w:hAnsi="Quattrocento Sans"/>
          <w:b w:val="1"/>
          <w:bCs w:val="1"/>
        </w:rPr>
      </w:pPr>
      <w:r>
        <w:rPr>
          <w:rFonts w:ascii="Quattrocento Sans" w:cs="Quattrocento Sans" w:eastAsia="Quattrocento Sans" w:hAnsi="Quattrocento Sans"/>
          <w:b/>
          <w:bCs/>
          <w:rtl w:val="0"/>
        </w:rPr>
        <w:t xml:space="preserve">DA PRESCRIÇÃO INTERCORRENTE NO CASO CONCRETO</w:t>
      </w:r>
    </w:p>
    <w:p>
      <w:pPr>
        <w:jc w:val="both"/>
        <w:rPr>
          <w:rFonts w:ascii="Quattrocento Sans" w:cs="Quattrocento Sans" w:eastAsia="Quattrocento Sans" w:hAnsi="Quattrocento Sans"/>
          <w:i w:val="1"/>
          <w:iCs w:val="1"/>
        </w:rPr>
      </w:pPr>
      <w:r>
        <w:rPr>
          <w:rFonts w:ascii="Quattrocento Sans" w:cs="Quattrocento Sans" w:eastAsia="Quattrocento Sans" w:hAnsi="Quattrocento Sans"/>
          <w:i/>
          <w:iCs/>
          <w:rtl w:val="0"/>
        </w:rPr>
        <w:t xml:space="preserve">Impõe-se a extinção da execução.</w:t>
      </w:r>
    </w:p>
    <w:p>
      <w:pPr>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Na hipótese dos autos, a Fazenda Pública tomou ciência da não localização </w:t>
        <w:t xml:space="preserve">do devedor e de bens penhoráveis</w:t>
        <w:t xml:space="preserve"> em </w:t>
      </w:r>
      <w:r>
        <w:rPr>
          <w:rFonts w:ascii="Quattrocento Sans" w:cs="Quattrocento Sans" w:eastAsia="Quattrocento Sans" w:hAnsi="Quattrocento Sans"/>
          <w:b/>
          <w:bCs/>
          <w:rtl w:val="0"/>
        </w:rPr>
        <w:t xml:space="preserve">10/03/2017</w:t>
      </w:r>
      <w:r>
        <w:rPr>
          <w:rFonts w:ascii="Quattrocento Sans" w:cs="Quattrocento Sans" w:eastAsia="Quattrocento Sans" w:hAnsi="Quattrocento Sans"/>
          <w:rtl w:val="0"/>
        </w:rPr>
        <w:t xml:space="preserve">, conforme </w:t>
        <w:t xml:space="preserve">certidao_oficial.pdf</w:t>
        <w:t xml:space="preserve">. Nesse momento, nos termos do item (i) acima, iniciou-se automaticamente o prazo de 1 (um) ano de suspensão, encerrado em </w:t>
      </w:r>
      <w:r>
        <w:rPr>
          <w:rFonts w:ascii="Quattrocento Sans" w:cs="Quattrocento Sans" w:eastAsia="Quattrocento Sans" w:hAnsi="Quattrocento Sans"/>
          <w:b/>
          <w:bCs/>
          <w:rtl w:val="0"/>
        </w:rPr>
        <w:t xml:space="preserve">10/03/2018</w:t>
      </w:r>
      <w:r>
        <w:rPr>
          <w:rFonts w:ascii="Quattrocento Sans" w:cs="Quattrocento Sans" w:eastAsia="Quattrocento Sans" w:hAnsi="Quattrocento Sans"/>
          <w:rtl w:val="0"/>
        </w:rPr>
        <w:t xml:space="preserve">. Ato contínuo, iniciou-se o prazo prescricional de 5 (cinco) anos, </w:t>
      </w:r>
      <w:r>
        <w:rPr>
          <w:rFonts w:ascii="Quattrocento Sans" w:cs="Quattrocento Sans" w:eastAsia="Quattrocento Sans" w:hAnsi="Quattrocento Sans"/>
          <w:b/>
          <w:bCs/>
          <w:rtl w:val="0"/>
        </w:rPr>
        <w:t xml:space="preserve">que se consumou em </w:t>
        <w:t xml:space="preserve">10/03/2023</w:t>
        <w:t xml:space="preserve">.</w:t>
      </w:r>
    </w:p>
    <w:p>
      <w:pPr>
        <w:jc w:val="both"/>
        <w:rPr>
          <w:rFonts w:ascii="Quattrocento Sans" w:cs="Quattrocento Sans" w:eastAsia="Quattrocento Sans" w:hAnsi="Quattrocento Sans"/>
        </w:rPr>
      </w:pPr>
      <w:r>
        <w:rPr>
          <w:rFonts w:ascii="Quattrocento Sans" w:cs="Quattrocento Sans" w:eastAsia="Quattrocento Sans" w:hAnsi="Quattrocento Sans"/>
          <w:highlight w:val="yellow"/>
          <w:rtl w:val="0"/>
        </w:rPr>
        <w:t xml:space="preserve">[INSERIR FIGURA 1 – excerto da intimação/ciência da Fazenda sobre a não localização, fonte: certidao_oficial.pdf]</w:t>
      </w:r>
    </w:p>
    <w:p>
      <w:pPr>
        <w:jc w:val="both"/>
        <w:rPr>
          <w:rFonts w:ascii="Quattrocento Sans" w:cs="Quattrocento Sans" w:eastAsia="Quattrocento Sans" w:hAnsi="Quattrocento Sans"/>
        </w:rPr>
      </w:pPr>
      <w:r>
        <w:rPr>
          <w:rFonts w:ascii="Quattrocento Sans" w:cs="Quattrocento Sans" w:eastAsia="Quattrocento Sans" w:hAnsi="Quattrocento Sans"/>
          <w:b/>
          <w:bCs/>
          <w:i/>
          <w:iCs/>
          <w:rtl w:val="0"/>
        </w:rPr>
        <w:t xml:space="preserve">Figura 1 - Excerto da ciência da Fazenda sobre a não localização</w:t>
      </w:r>
    </w:p>
    <w:tbl>
      <w:tblPr>
        <w:tblW w:w="9000" w:type="dxa"/>
        <w:jc w:val="lef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Layout w:type="fixed"/>
        <w:tblLook w:val="0000"/>
      </w:tblPr>
      <w:tblGrid>
        <w:gridCol w:w="3300"/>
        <w:gridCol w:w="1500"/>
        <w:gridCol w:w="4200"/>
      </w:tblGrid>
      <w:tr>
        <w:trPr>
          <w:cantSplit/>
          <w:tblHeader/>
        </w:trPr>
        <w:tc>
          <w:tcPr>
            <w:tcW w:w="3300" w:type="dxa"/>
            <w:tcBorders>
              <w:top w:val="single" w:sz="4" w:space="0" w:color="d1d5db"/>
              <w:left w:val="single" w:sz="4" w:space="0" w:color="d1d5db"/>
              <w:bottom w:val="single" w:sz="4" w:space="0" w:color="d1d5db"/>
              <w:right w:val="single" w:sz="4" w:space="0" w:color="d1d5db"/>
            </w:tcBorders>
            <w:shd w:val="clear" w:color="auto" w:fill="e5e7eb"/>
            <w:tcMar>
              <w:top w:w="115" w:type="dxa"/>
              <w:left w:w="144" w:type="dxa"/>
              <w:bottom w:w="115" w:type="dxa"/>
              <w:right w:w="144" w:type="dxa"/>
            </w:tcMar>
          </w:tcPr>
          <w:p>
            <w:pPr>
              <w:spacing w:before="60" w:after="60" w:line="276" w:lineRule="auto"/>
              <w:jc w:val="center"/>
            </w:pPr>
            <w:r>
              <w:rPr>
                <w:rFonts w:ascii="Quattrocento Sans" w:hAnsi="Quattrocento Sans" w:cs="Quattrocento Sans"/>
                <w:b/>
                <w:bCs/>
                <w:sz w:val="22"/>
                <w:szCs w:val="22"/>
              </w:rPr>
              <w:t xml:space="preserve">Marco</w:t>
            </w:r>
          </w:p>
        </w:tc>
        <w:tc>
          <w:tcPr>
            <w:tcW w:w="1500" w:type="dxa"/>
            <w:tcBorders>
              <w:top w:val="single" w:sz="4" w:space="0" w:color="d1d5db"/>
              <w:left w:val="single" w:sz="4" w:space="0" w:color="d1d5db"/>
              <w:bottom w:val="single" w:sz="4" w:space="0" w:color="d1d5db"/>
              <w:right w:val="single" w:sz="4" w:space="0" w:color="d1d5db"/>
            </w:tcBorders>
            <w:shd w:val="clear" w:color="auto" w:fill="e5e7eb"/>
            <w:tcMar>
              <w:top w:w="115" w:type="dxa"/>
              <w:left w:w="144" w:type="dxa"/>
              <w:bottom w:w="115" w:type="dxa"/>
              <w:right w:w="144" w:type="dxa"/>
            </w:tcMar>
          </w:tcPr>
          <w:p>
            <w:pPr>
              <w:spacing w:before="60" w:after="60" w:line="276" w:lineRule="auto"/>
              <w:jc w:val="center"/>
            </w:pPr>
            <w:r>
              <w:rPr>
                <w:rFonts w:ascii="Quattrocento Sans" w:hAnsi="Quattrocento Sans" w:cs="Quattrocento Sans"/>
                <w:b/>
                <w:bCs/>
                <w:sz w:val="22"/>
                <w:szCs w:val="22"/>
              </w:rPr>
              <w:t xml:space="preserve">Data</w:t>
            </w:r>
          </w:p>
        </w:tc>
        <w:tc>
          <w:tcPr>
            <w:tcW w:w="4200" w:type="dxa"/>
            <w:tcBorders>
              <w:top w:val="single" w:sz="4" w:space="0" w:color="d1d5db"/>
              <w:left w:val="single" w:sz="4" w:space="0" w:color="d1d5db"/>
              <w:bottom w:val="single" w:sz="4" w:space="0" w:color="d1d5db"/>
              <w:right w:val="single" w:sz="4" w:space="0" w:color="d1d5db"/>
            </w:tcBorders>
            <w:shd w:val="clear" w:color="auto" w:fill="e5e7eb"/>
            <w:tcMar>
              <w:top w:w="115" w:type="dxa"/>
              <w:left w:w="144" w:type="dxa"/>
              <w:bottom w:w="115" w:type="dxa"/>
              <w:right w:w="144" w:type="dxa"/>
            </w:tcMar>
          </w:tcPr>
          <w:p>
            <w:pPr>
              <w:spacing w:before="60" w:after="60" w:line="276" w:lineRule="auto"/>
              <w:jc w:val="center"/>
            </w:pPr>
            <w:r>
              <w:rPr>
                <w:rFonts w:ascii="Quattrocento Sans" w:hAnsi="Quattrocento Sans" w:cs="Quattrocento Sans"/>
                <w:b/>
                <w:bCs/>
                <w:sz w:val="22"/>
                <w:szCs w:val="22"/>
              </w:rPr>
              <w:t xml:space="preserve">Fundamento</w:t>
            </w:r>
          </w:p>
        </w:tc>
      </w:tr>
      <w:tr>
        <w:trPr>
          <w:cantSplit/>
        </w:trPr>
        <w:tc>
          <w:tcPr>
            <w:tcW w:w="33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Ciência da Fazenda sobre a não localização</w:t>
            </w:r>
          </w:p>
        </w:tc>
        <w:tc>
          <w:tcPr>
            <w:tcW w:w="15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10/03/2017</w:t>
            </w:r>
          </w:p>
        </w:tc>
        <w:tc>
          <w:tcPr>
            <w:tcW w:w="42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b/>
                <w:bCs/>
                <w:sz w:val="22"/>
                <w:szCs w:val="22"/>
              </w:rPr>
              <w:t xml:space="preserve">Art. 40, caput e § 1º, LEF; REsp 1.340.553/RS</w:t>
            </w:r>
          </w:p>
        </w:tc>
      </w:tr>
      <w:tr>
        <w:trPr>
          <w:cantSplit/>
        </w:trPr>
        <w:tc>
          <w:tcPr>
            <w:tcW w:w="33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Fim da suspensão de 1 ano / início do prazo prescricional</w:t>
            </w:r>
          </w:p>
        </w:tc>
        <w:tc>
          <w:tcPr>
            <w:tcW w:w="15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10/03/2018</w:t>
            </w:r>
          </w:p>
        </w:tc>
        <w:tc>
          <w:tcPr>
            <w:tcW w:w="42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b/>
                <w:bCs/>
                <w:sz w:val="22"/>
                <w:szCs w:val="22"/>
              </w:rPr>
              <w:t xml:space="preserve">Art. 40, § 2º, LEF; Súmula 314/STJ; Tema 390/STF</w:t>
            </w:r>
          </w:p>
        </w:tc>
      </w:tr>
      <w:tr>
        <w:trPr>
          <w:cantSplit/>
        </w:trPr>
        <w:tc>
          <w:tcPr>
            <w:tcW w:w="33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Consumação da prescrição intercorrente</w:t>
            </w:r>
          </w:p>
        </w:tc>
        <w:tc>
          <w:tcPr>
            <w:tcW w:w="15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10/03/2023</w:t>
            </w:r>
          </w:p>
        </w:tc>
        <w:tc>
          <w:tcPr>
            <w:tcW w:w="42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b/>
                <w:bCs/>
                <w:sz w:val="22"/>
                <w:szCs w:val="22"/>
              </w:rPr>
              <w:t xml:space="preserve">Art. 40, § 4º, LEF; art. 174 do CTN</w:t>
            </w:r>
          </w:p>
        </w:tc>
      </w:tr>
      <w:tr>
        <w:trPr>
          <w:cantSplit/>
        </w:trPr>
        <w:tc>
          <w:tcPr>
            <w:tcW w:w="33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Data da presente petição</w:t>
            </w:r>
          </w:p>
        </w:tc>
        <w:tc>
          <w:tcPr>
            <w:tcW w:w="15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11/10/2026</w:t>
            </w:r>
          </w:p>
        </w:tc>
        <w:tc>
          <w:tcPr>
            <w:tcW w:w="42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Prazo extrapolado: </w:t>
            </w:r>
            <w:r>
              <w:rPr>
                <w:rFonts w:ascii="Quattrocento Sans" w:hAnsi="Quattrocento Sans" w:cs="Quattrocento Sans"/>
                <w:b/>
                <w:bCs/>
                <w:sz w:val="22"/>
                <w:szCs w:val="22"/>
              </w:rPr>
              <w:t xml:space="preserve">operada a prescrição intercorrente</w:t>
            </w:r>
          </w:p>
        </w:tc>
      </w:tr>
    </w:tbl>
    <w:p>
      <w:pPr>
        <w:jc w:val="both"/>
        <w:rPr>
          <w:rFonts w:ascii="Quattrocento Sans" w:cs="Quattrocento Sans" w:eastAsia="Quattrocento Sans" w:hAnsi="Quattrocento Sans"/>
        </w:rPr>
      </w:pPr>
    </w:p>
    <w:p>
      <w:pPr>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Entre </w:t>
        <w:t xml:space="preserve">10/03/2017</w:t>
        <w:t xml:space="preserve"> e </w:t>
        <w:t xml:space="preserve">10/03/2023</w:t>
        <w:t xml:space="preserve"> não houve citação do executado nem qualquer constrição patrimonial efetiva, que são os únicos eventos aptos a interromper a prescrição intercorrente segundo o item (iii) do REsp 1.340.553/RS, consoante se verifica da movimentação processual anexa.</w:t>
      </w:r>
    </w:p>
    <w:p>
      <w:pPr>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Registre-se, por oportuno, que episódio anterior de não localização, com ciência da Fazenda em </w:t>
        <w:t xml:space="preserve">10/03/2016</w:t>
        <w:t xml:space="preserve">, teve a contagem interrompida em </w:t>
        <w:t xml:space="preserve">15/05/2016</w:t>
        <w:t xml:space="preserve"> por </w:t>
        <w:t xml:space="preserve">citação do executado</w:t>
        <w:t xml:space="preserve">. A contagem ora demonstrada refere-se ao episódio subsequente, iniciado em </w:t>
        <w:t xml:space="preserve">10/03/2017</w:t>
        <w:t xml:space="preserve">, que não sofreu qualquer interrupção.</w:t>
      </w:r>
    </w:p>
    <w:p>
      <w:pPr>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Para fins de ilustração, a linha do tempo abaixo demonstra o curso da execução e a ocorrência da prescrição intercorrente:</w:t>
      </w:r>
    </w:p>
    <w:tbl>
      <w:tblPr>
        <w:tblW w:w="9000" w:type="dxa"/>
        <w:jc w:val="lef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Layout w:type="fixed"/>
        <w:tblLook w:val="0000"/>
      </w:tblPr>
      <w:tblGrid>
        <w:gridCol w:w="1500"/>
        <w:gridCol w:w="4500"/>
        <w:gridCol w:w="3000"/>
      </w:tblGrid>
      <w:tr>
        <w:trPr>
          <w:cantSplit/>
          <w:tblHeader/>
        </w:trPr>
        <w:tc>
          <w:tcPr>
            <w:tcW w:w="1500" w:type="dxa"/>
            <w:tcBorders>
              <w:top w:val="single" w:sz="4" w:space="0" w:color="d1d5db"/>
              <w:left w:val="single" w:sz="4" w:space="0" w:color="d1d5db"/>
              <w:bottom w:val="single" w:sz="4" w:space="0" w:color="d1d5db"/>
              <w:right w:val="single" w:sz="4" w:space="0" w:color="d1d5db"/>
            </w:tcBorders>
            <w:shd w:val="clear" w:color="auto" w:fill="e5e7eb"/>
            <w:tcMar>
              <w:top w:w="115" w:type="dxa"/>
              <w:left w:w="144" w:type="dxa"/>
              <w:bottom w:w="115" w:type="dxa"/>
              <w:right w:w="144" w:type="dxa"/>
            </w:tcMar>
          </w:tcPr>
          <w:p>
            <w:pPr>
              <w:spacing w:before="60" w:after="60" w:line="276" w:lineRule="auto"/>
              <w:jc w:val="center"/>
            </w:pPr>
            <w:r>
              <w:rPr>
                <w:rFonts w:ascii="Quattrocento Sans" w:hAnsi="Quattrocento Sans" w:cs="Quattrocento Sans"/>
                <w:b/>
                <w:bCs/>
                <w:sz w:val="22"/>
                <w:szCs w:val="22"/>
              </w:rPr>
              <w:t xml:space="preserve">Data</w:t>
            </w:r>
          </w:p>
        </w:tc>
        <w:tc>
          <w:tcPr>
            <w:tcW w:w="4500" w:type="dxa"/>
            <w:tcBorders>
              <w:top w:val="single" w:sz="4" w:space="0" w:color="d1d5db"/>
              <w:left w:val="single" w:sz="4" w:space="0" w:color="d1d5db"/>
              <w:bottom w:val="single" w:sz="4" w:space="0" w:color="d1d5db"/>
              <w:right w:val="single" w:sz="4" w:space="0" w:color="d1d5db"/>
            </w:tcBorders>
            <w:shd w:val="clear" w:color="auto" w:fill="e5e7eb"/>
            <w:tcMar>
              <w:top w:w="115" w:type="dxa"/>
              <w:left w:w="144" w:type="dxa"/>
              <w:bottom w:w="115" w:type="dxa"/>
              <w:right w:w="144" w:type="dxa"/>
            </w:tcMar>
          </w:tcPr>
          <w:p>
            <w:pPr>
              <w:spacing w:before="60" w:after="60" w:line="276" w:lineRule="auto"/>
              <w:jc w:val="center"/>
            </w:pPr>
            <w:r>
              <w:rPr>
                <w:rFonts w:ascii="Quattrocento Sans" w:hAnsi="Quattrocento Sans" w:cs="Quattrocento Sans"/>
                <w:b/>
                <w:bCs/>
                <w:sz w:val="22"/>
                <w:szCs w:val="22"/>
              </w:rPr>
              <w:t xml:space="preserve">Evento</w:t>
            </w:r>
          </w:p>
        </w:tc>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15" w:type="dxa"/>
              <w:left w:w="144" w:type="dxa"/>
              <w:bottom w:w="115" w:type="dxa"/>
              <w:right w:w="144" w:type="dxa"/>
            </w:tcMar>
          </w:tcPr>
          <w:p>
            <w:pPr>
              <w:spacing w:before="60" w:after="60" w:line="276" w:lineRule="auto"/>
              <w:jc w:val="center"/>
            </w:pPr>
            <w:r>
              <w:rPr>
                <w:rFonts w:ascii="Quattrocento Sans" w:hAnsi="Quattrocento Sans" w:cs="Quattrocento Sans"/>
                <w:b/>
                <w:bCs/>
                <w:sz w:val="22"/>
                <w:szCs w:val="22"/>
              </w:rPr>
              <w:t xml:space="preserve">Documento-fonte</w:t>
            </w:r>
          </w:p>
        </w:tc>
      </w:tr>
      <w:tr>
        <w:trPr>
          <w:cantSplit/>
        </w:trPr>
        <w:tc>
          <w:tcPr>
            <w:tcW w:w="15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15/05/2015</w:t>
            </w:r>
          </w:p>
        </w:tc>
        <w:tc>
          <w:tcPr>
            <w:tcW w:w="45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Ajuizamento da execução fiscal</w:t>
            </w:r>
          </w:p>
        </w:tc>
        <w:tc>
          <w:tcPr>
            <w:tcW w:w="30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peticao_inicial.pdf</w:t>
            </w:r>
          </w:p>
        </w:tc>
      </w:tr>
      <w:tr>
        <w:trPr>
          <w:cantSplit/>
        </w:trPr>
        <w:tc>
          <w:tcPr>
            <w:tcW w:w="15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02/02/2016</w:t>
            </w:r>
          </w:p>
        </w:tc>
        <w:tc>
          <w:tcPr>
            <w:tcW w:w="45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Protesto da CDA 44 1 15 000999-00</w:t>
            </w:r>
          </w:p>
        </w:tc>
        <w:tc>
          <w:tcPr>
            <w:tcW w:w="30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extrato.pdf</w:t>
            </w:r>
          </w:p>
        </w:tc>
      </w:tr>
      <w:tr>
        <w:trPr>
          <w:cantSplit/>
        </w:trPr>
        <w:tc>
          <w:tcPr>
            <w:tcW w:w="15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10/03/2016</w:t>
            </w:r>
          </w:p>
        </w:tc>
        <w:tc>
          <w:tcPr>
            <w:tcW w:w="45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Ciência da Fazenda sobre a não localização</w:t>
            </w:r>
          </w:p>
        </w:tc>
        <w:tc>
          <w:tcPr>
            <w:tcW w:w="30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certidao_oficial.pdf</w:t>
            </w:r>
          </w:p>
        </w:tc>
      </w:tr>
      <w:tr>
        <w:trPr>
          <w:cantSplit/>
        </w:trPr>
        <w:tc>
          <w:tcPr>
            <w:tcW w:w="15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15/05/2016</w:t>
            </w:r>
          </w:p>
        </w:tc>
        <w:tc>
          <w:tcPr>
            <w:tcW w:w="45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Citação do executado</w:t>
            </w:r>
          </w:p>
        </w:tc>
        <w:tc>
          <w:tcPr>
            <w:tcW w:w="30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movimentacao.pdf</w:t>
            </w:r>
          </w:p>
        </w:tc>
      </w:tr>
      <w:tr>
        <w:trPr>
          <w:cantSplit/>
        </w:trPr>
        <w:tc>
          <w:tcPr>
            <w:tcW w:w="15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10/03/2017</w:t>
            </w:r>
          </w:p>
        </w:tc>
        <w:tc>
          <w:tcPr>
            <w:tcW w:w="45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Ciência da Fazenda sobre a não localização</w:t>
            </w:r>
          </w:p>
        </w:tc>
        <w:tc>
          <w:tcPr>
            <w:tcW w:w="30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certidao_oficial.pdf</w:t>
            </w:r>
          </w:p>
        </w:tc>
      </w:tr>
      <w:tr>
        <w:trPr>
          <w:cantSplit/>
        </w:trPr>
        <w:tc>
          <w:tcPr>
            <w:tcW w:w="15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10/03/2018</w:t>
            </w:r>
          </w:p>
        </w:tc>
        <w:tc>
          <w:tcPr>
            <w:tcW w:w="45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Fim da suspensão de 1 ano e início do prazo prescricional</w:t>
            </w:r>
          </w:p>
        </w:tc>
        <w:tc>
          <w:tcPr>
            <w:tcW w:w="30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cálculo (art. 40, § 2º, LEF)</w:t>
            </w:r>
          </w:p>
        </w:tc>
      </w:tr>
      <w:tr>
        <w:trPr>
          <w:cantSplit/>
        </w:trPr>
        <w:tc>
          <w:tcPr>
            <w:tcW w:w="15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10/03/2023</w:t>
            </w:r>
          </w:p>
        </w:tc>
        <w:tc>
          <w:tcPr>
            <w:tcW w:w="45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Consumação da prescrição intercorrente</w:t>
            </w:r>
          </w:p>
        </w:tc>
        <w:tc>
          <w:tcPr>
            <w:tcW w:w="30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cálculo (art. 40, § 4º, LEF; art. 174 do CTN)</w:t>
            </w:r>
          </w:p>
        </w:tc>
      </w:tr>
    </w:tbl>
    <w:p>
      <w:pPr>
        <w:jc w:val="both"/>
        <w:rPr>
          <w:rFonts w:ascii="Quattrocento Sans" w:cs="Quattrocento Sans" w:eastAsia="Quattrocento Sans" w:hAnsi="Quattrocento Sans"/>
        </w:rPr>
      </w:pPr>
    </w:p>
    <w:p>
      <w:pPr>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Diante do exposto, consumada a prescrição intercorrente, o crédito tributário exequendo encontra-se </w:t>
      </w:r>
      <w:r>
        <w:rPr>
          <w:rFonts w:ascii="Quattrocento Sans" w:cs="Quattrocento Sans" w:eastAsia="Quattrocento Sans" w:hAnsi="Quattrocento Sans"/>
          <w:b/>
          <w:bCs/>
          <w:rtl w:val="0"/>
        </w:rPr>
        <w:t xml:space="preserve">extinto</w:t>
      </w:r>
      <w:r>
        <w:rPr>
          <w:rFonts w:ascii="Quattrocento Sans" w:cs="Quattrocento Sans" w:eastAsia="Quattrocento Sans" w:hAnsi="Quattrocento Sans"/>
          <w:rtl w:val="0"/>
        </w:rPr>
        <w:t xml:space="preserve"> (art. 156, V, do CTN), não subsistindo pretensão executória apta a justificar o prosseguimento do feito.</w:t>
      </w:r>
    </w:p>
    <w:p>
      <w:pPr>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É imperioso reconhecer a prescrição intercorrente, não apenas pelo direito do Executado, mas também para evitar que a inércia da Fazenda Pública perpetue execuções fiscais inviáveis, sobrecarregando o acervo processual do Judiciário em detrimento da efetividade da Justiça e do postulado da razoável duração do processo.</w:t>
      </w:r>
    </w:p>
    <w:p>
      <w:pPr>
        <w:jc w:val="both"/>
        <w:rPr>
          <w:rFonts w:ascii="Quattrocento Sans" w:cs="Quattrocento Sans" w:eastAsia="Quattrocento Sans" w:hAnsi="Quattrocento Sans"/>
        </w:rPr>
      </w:pPr>
    </w:p>
    <w:p w:rsidR="00000000" w:rsidDel="00000000" w:rsidP="00000000" w:rsidRDefault="00000000" w:rsidRPr="00000000" w14:paraId="00000064">
      <w:pPr>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DOS PEDIDOS</w:t>
      </w:r>
    </w:p>
    <w:p>
      <w:pPr>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Isto posto, requer a V.Exa.:</w:t>
      </w:r>
    </w:p>
    <w:p>
      <w:pPr>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a) o recebimento da presente exceção de pré-executividade, com o sobrestamento dos atos executivos enquanto não apreciada a presente postulação;</w:t>
      </w:r>
    </w:p>
    <w:p>
      <w:pPr>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b) a intimação da Fazenda Pública para, querendo, manifestar-se, nos termos do art. 40, § 4º, da Lei nº 6.830/1980;</w:t>
      </w:r>
    </w:p>
    <w:p>
      <w:pPr>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c) o </w:t>
      </w:r>
      <w:r>
        <w:rPr>
          <w:rFonts w:ascii="Quattrocento Sans" w:cs="Quattrocento Sans" w:eastAsia="Quattrocento Sans" w:hAnsi="Quattrocento Sans"/>
          <w:b/>
          <w:bCs/>
          <w:rtl w:val="0"/>
        </w:rPr>
        <w:t xml:space="preserve">reconhecimento da prescrição intercorrente</w:t>
      </w:r>
      <w:r>
        <w:rPr>
          <w:rFonts w:ascii="Quattrocento Sans" w:cs="Quattrocento Sans" w:eastAsia="Quattrocento Sans" w:hAnsi="Quattrocento Sans"/>
          <w:rtl w:val="0"/>
        </w:rPr>
        <w:t xml:space="preserve"> do crédito tributário consubstanciado na(s) CDA(s) nº </w:t>
        <w:t xml:space="preserve">44 1 15 000999-00</w:t>
        <w:t xml:space="preserve">, com a consequente </w:t>
      </w:r>
      <w:r>
        <w:rPr>
          <w:rFonts w:ascii="Quattrocento Sans" w:cs="Quattrocento Sans" w:eastAsia="Quattrocento Sans" w:hAnsi="Quattrocento Sans"/>
          <w:b/>
          <w:bCs/>
          <w:rtl w:val="0"/>
        </w:rPr>
        <w:t xml:space="preserve">extinção da execução fiscal</w:t>
      </w:r>
      <w:r>
        <w:rPr>
          <w:rFonts w:ascii="Quattrocento Sans" w:cs="Quattrocento Sans" w:eastAsia="Quattrocento Sans" w:hAnsi="Quattrocento Sans"/>
          <w:rtl w:val="0"/>
        </w:rPr>
        <w:t xml:space="preserve">, nos termos do art. 40, § 4º, da Lei nº 6.830/1980, do art. 156, V, do CTN e do art. 924, V, do CPC;</w:t>
      </w:r>
    </w:p>
    <w:p>
      <w:pPr>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d</w:t>
        <w:t xml:space="preserve">) o cancelamento do(s) protesto(s) da(s) CDA(s) nº </w:t>
        <w:t xml:space="preserve">44 1 15 000999-00</w:t>
        <w:t xml:space="preserve">, sem a cobrança de quaisquer emolumentos ao executado;</w:t>
      </w:r>
    </w:p>
    <w:p>
      <w:pPr>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e</w:t>
        <w:t xml:space="preserve">) a liberação de eventuais restrições e constrições existentes nos autos.</w:t>
      </w:r>
    </w:p>
    <w:p w:rsidR="00000000" w:rsidDel="00000000" w:rsidP="00000000" w:rsidRDefault="00000000" w:rsidRPr="00000000" w14:paraId="00000066">
      <w:pPr>
        <w:spacing w:after="0" w:lineRule="auto"/>
        <w:jc w:val="righ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Termos em que pede deferimento.</w:t>
      </w:r>
    </w:p>
    <w:p w:rsidR="00000000" w:rsidDel="00000000" w:rsidP="00000000" w:rsidRDefault="00000000" w:rsidRPr="00000000" w14:paraId="00000067">
      <w:pPr>
        <w:jc w:val="right"/>
        <w:rPr>
          <w:rFonts w:ascii="Quattrocento Sans" w:cs="Quattrocento Sans" w:eastAsia="Quattrocento Sans" w:hAnsi="Quattrocento Sans"/>
        </w:rPr>
      </w:pPr>
      <w:bookmarkStart w:colFirst="0" w:colLast="0" w:name="_heading=h.3dy6vkm" w:id="2"/>
      <w:bookmarkEnd w:id="2"/>
      <w:r w:rsidDel="00000000" w:rsidR="00000000" w:rsidRPr="00000000">
        <w:rPr>
          <w:rFonts w:ascii="Quattrocento Sans" w:cs="Quattrocento Sans" w:eastAsia="Quattrocento Sans" w:hAnsi="Quattrocento Sans"/>
          <w:rtl w:val="0"/>
        </w:rPr>
        <w:t xml:space="preserve">Brumado/BA, 11 de outubro de 2026.</w:t>
      </w:r>
    </w:p>
    <w:p w:rsidR="00000000" w:rsidDel="00000000" w:rsidP="00000000" w:rsidRDefault="00000000" w:rsidRPr="00000000" w14:paraId="00000068">
      <w:pPr>
        <w:jc w:val="righ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6B">
      <w:pPr>
        <w:jc w:val="righ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6C">
      <w:pPr>
        <w:tabs>
          <w:tab w:val="left" w:leader="none" w:pos="6384"/>
        </w:tabs>
        <w:spacing w:after="0" w:lineRule="auto"/>
        <w:ind w:left="720" w:firstLine="0"/>
        <w:jc w:val="righ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Advogada Um</w:t>
        <w:t xml:space="preserve"> | </w:t>
        <w:t xml:space="preserve">OAB BA 11.111</w:t>
      </w:r>
    </w:p>
    <w:p w:rsidR="00000000" w:rsidDel="00000000" w:rsidP="00000000" w:rsidRDefault="00000000" w:rsidRPr="00000000" w14:paraId="0000006C">
      <w:pPr>
        <w:tabs>
          <w:tab w:val="left" w:leader="none" w:pos="6384"/>
        </w:tabs>
        <w:spacing w:after="0" w:lineRule="auto"/>
        <w:ind w:left="720" w:firstLine="0"/>
        <w:jc w:val="righ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Advogada Dois</w:t>
        <w:t xml:space="preserve"> | </w:t>
        <w:t xml:space="preserve">OAB BA 22.222</w:t>
      </w:r>
    </w:p>
    <w:p w:rsidR="00000000" w:rsidDel="00000000" w:rsidP="00000000" w:rsidRDefault="00000000" w:rsidRPr="00000000" w14:paraId="0000006A">
      <w:pPr>
        <w:jc w:val="righ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Documento assinado digitalmente</w:t>
      </w:r>
      <w:r w:rsidDel="00000000" w:rsidR="00000000" w:rsidRPr="00000000">
        <w:rPr>
          <w:rtl w:val="0"/>
        </w:rPr>
      </w:r>
    </w:p>
    <w:sectPr>
      <w:headerReference r:id="rId10" w:type="default"/>
      <w:headerReference r:id="rId11" w:type="first"/>
      <w:footerReference r:id="rId12" w:type="first"/>
      <w:pgSz w:h="16838" w:w="11906" w:orient="portrait"/>
      <w:pgMar w:bottom="835" w:top="1701" w:left="1701" w:right="1418" w:header="709"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ind w:left="-1701" w:firstLine="0"/>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-1079181</wp:posOffset>
              </wp:positionH>
              <wp:positionV relativeFrom="paragraph">
                <wp:posOffset>-774803</wp:posOffset>
              </wp:positionV>
              <wp:extent cx="7558331" cy="930600"/>
              <wp:effectExtent b="0" l="0" r="0" t="0"/>
              <wp:wrapNone/>
              <wp:docPr id="2061165522" name=""/>
              <a:graphic>
                <a:graphicData uri="http://schemas.microsoft.com/office/word/2010/wordprocessingShape">
                  <wps:wsp>
                    <wps:cNvSpPr/>
                    <wps:cNvPr id="3" name="Shape 3"/>
                    <wps:spPr>
                      <a:xfrm>
                        <a:off x="1571597" y="3319463"/>
                        <a:ext cx="7548806" cy="921075"/>
                      </a:xfrm>
                      <a:prstGeom prst="rect">
                        <a:avLst/>
                      </a:prstGeom>
                      <a:solidFill>
                        <a:srgbClr val="7B7B7B"/>
                      </a:solidFill>
                      <a:ln>
                        <a:noFill/>
                      </a:ln>
                    </wps:spPr>
                    <wps:txbx>
                      <w:txbxContent>
                        <w:p w:rsidR="00000000" w:rsidDel="00000000" w:rsidP="00000000" w:rsidRDefault="00000000" w:rsidRPr="00000000">
                          <w:pPr>
                            <w:spacing w:after="160" w:before="0" w:line="300"/>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-1079181</wp:posOffset>
              </wp:positionH>
              <wp:positionV relativeFrom="paragraph">
                <wp:posOffset>-774803</wp:posOffset>
              </wp:positionV>
              <wp:extent cx="7558331" cy="930600"/>
              <wp:effectExtent b="0" l="0" r="0" t="0"/>
              <wp:wrapNone/>
              <wp:docPr id="2061165523"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7558331" cy="9306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-415394</wp:posOffset>
              </wp:positionH>
              <wp:positionV relativeFrom="paragraph">
                <wp:posOffset>-569276</wp:posOffset>
              </wp:positionV>
              <wp:extent cx="2205420" cy="556830"/>
              <wp:effectExtent b="0" l="0" r="0" t="0"/>
              <wp:wrapNone/>
              <wp:docPr id="2061165524" name=""/>
              <a:graphic>
                <a:graphicData uri="http://schemas.microsoft.com/office/word/2010/wordprocessingShape">
                  <wps:wsp>
                    <wps:cNvSpPr/>
                    <wps:cNvPr id="26" name="Shape 26"/>
                    <wps:spPr>
                      <a:xfrm>
                        <a:off x="4248053" y="3506348"/>
                        <a:ext cx="2195895" cy="547305"/>
                      </a:xfrm>
                      <a:prstGeom prst="rect">
                        <a:avLst/>
                      </a:prstGeom>
                      <a:noFill/>
                      <a:ln>
                        <a:noFill/>
                      </a:ln>
                    </wps:spPr>
                    <wps:txbx>
                      <w:txbxContent>
                        <w:p w:rsidR="00000000" w:rsidDel="00000000" w:rsidP="00000000" w:rsidRDefault="00000000" w:rsidRPr="00000000">
                          <w:pPr>
                            <w:spacing w:after="0" w:before="0" w:line="300"/>
                            <w:ind w:left="0" w:right="0" w:firstLine="0"/>
                            <w:jc w:val="center"/>
                            <w:textDirection w:val="btLr"/>
                          </w:pPr>
                          <w:r w:rsidDel="00000000" w:rsidR="00000000" w:rsidRPr="00000000">
                            <w:rPr>
                              <w:rFonts w:ascii="Quicksand" w:cs="Quicksand" w:eastAsia="Quicksand" w:hAnsi="Quicksand"/>
                              <w:b w:val="0"/>
                              <w:i w:val="0"/>
                              <w:smallCaps w:val="0"/>
                              <w:strike w:val="0"/>
                              <w:color w:val="ffffff"/>
                              <w:sz w:val="18"/>
                              <w:vertAlign w:val="baseline"/>
                            </w:rPr>
                            <w:t xml:space="preserve">contato@exemplo.adv.br</w:t>
                          </w:r>
                        </w:p>
                        <w:p w:rsidR="00000000" w:rsidDel="00000000" w:rsidP="00000000" w:rsidRDefault="00000000" w:rsidRPr="00000000">
                          <w:pPr>
                            <w:spacing w:after="0" w:before="0" w:line="300"/>
                            <w:ind w:left="0" w:right="0" w:firstLine="0"/>
                            <w:jc w:val="center"/>
                            <w:textDirection w:val="btLr"/>
                          </w:pPr>
                          <w:r w:rsidDel="00000000" w:rsidR="00000000" w:rsidRPr="00000000">
                            <w:rPr>
                              <w:rFonts w:ascii="Quicksand" w:cs="Quicksand" w:eastAsia="Quicksand" w:hAnsi="Quicksand"/>
                              <w:b w:val="0"/>
                              <w:i w:val="0"/>
                              <w:smallCaps w:val="0"/>
                              <w:strike w:val="0"/>
                              <w:color w:val="ffffff"/>
                              <w:sz w:val="18"/>
                              <w:vertAlign w:val="baseline"/>
                            </w:rPr>
                          </w:r>
                          <w:r w:rsidDel="00000000" w:rsidR="00000000" w:rsidRPr="00000000">
                            <w:rPr>
                              <w:rFonts w:ascii="Quicksand" w:cs="Quicksand" w:eastAsia="Quicksand" w:hAnsi="Quicksand"/>
                              <w:b w:val="0"/>
                              <w:i w:val="0"/>
                              <w:smallCaps w:val="0"/>
                              <w:strike w:val="0"/>
                              <w:color w:val="ffffff"/>
                              <w:sz w:val="18"/>
                              <w:vertAlign w:val="baseline"/>
                            </w:rPr>
                            <w:t xml:space="preserve">www.exemplo.adv.br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-415394</wp:posOffset>
              </wp:positionH>
              <wp:positionV relativeFrom="paragraph">
                <wp:posOffset>-569276</wp:posOffset>
              </wp:positionV>
              <wp:extent cx="2205420" cy="556830"/>
              <wp:effectExtent b="0" l="0" r="0" t="0"/>
              <wp:wrapNone/>
              <wp:docPr id="2061165525" name="image14.png"/>
              <a:graphic>
                <a:graphicData uri="http://schemas.openxmlformats.org/drawingml/2006/picture">
                  <pic:pic>
                    <pic:nvPicPr>
                      <pic:cNvPr id="0" name="image14.png"/>
                      <pic:cNvPicPr preferRelativeResize="0"/>
                    </pic:nvPicPr>
                    <pic:blipFill>
                      <a:blip r:embed="rId3"/>
                      <a:srcRect/>
                      <a:stretch>
                        <a:fillRect/>
                      </a:stretch>
                    </pic:blipFill>
                    <pic:spPr>
                      <a:xfrm>
                        <a:off x="0" y="0"/>
                        <a:ext cx="2205420" cy="5568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3394392</wp:posOffset>
              </wp:positionH>
              <wp:positionV relativeFrom="paragraph">
                <wp:posOffset>-493076</wp:posOffset>
              </wp:positionV>
              <wp:extent cx="2205420" cy="556830"/>
              <wp:effectExtent b="0" l="0" r="0" t="0"/>
              <wp:wrapNone/>
              <wp:docPr id="2061165526" name=""/>
              <a:graphic>
                <a:graphicData uri="http://schemas.microsoft.com/office/word/2010/wordprocessingShape">
                  <wps:wsp>
                    <wps:cNvSpPr/>
                    <wps:cNvPr id="21" name="Shape 21"/>
                    <wps:spPr>
                      <a:xfrm>
                        <a:off x="4248053" y="3506348"/>
                        <a:ext cx="2195895" cy="547305"/>
                      </a:xfrm>
                      <a:prstGeom prst="rect">
                        <a:avLst/>
                      </a:prstGeom>
                      <a:noFill/>
                      <a:ln>
                        <a:noFill/>
                      </a:ln>
                    </wps:spPr>
                    <wps:txbx>
                      <w:txbxContent>
                        <w:p w:rsidR="00000000" w:rsidDel="00000000" w:rsidP="00000000" w:rsidRDefault="00000000" w:rsidRPr="00000000">
                          <w:pPr>
                            <w:spacing w:after="0" w:before="0" w:line="300"/>
                            <w:ind w:left="0" w:right="0" w:firstLine="0"/>
                            <w:jc w:val="center"/>
                            <w:textDirection w:val="btLr"/>
                          </w:pPr>
                          <w:r w:rsidDel="00000000" w:rsidR="00000000" w:rsidRPr="00000000">
                            <w:rPr>
                              <w:rFonts w:ascii="Quicksand" w:cs="Quicksand" w:eastAsia="Quicksand" w:hAnsi="Quicksand"/>
                              <w:b w:val="0"/>
                              <w:i w:val="0"/>
                              <w:smallCaps w:val="0"/>
                              <w:strike w:val="0"/>
                              <w:color w:val="ffffff"/>
                              <w:sz w:val="18"/>
                              <w:vertAlign w:val="baseline"/>
                            </w:rPr>
                            <w:t xml:space="preserve">Rua Exemplo, 100, Centro, Brumado/BA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3394392</wp:posOffset>
              </wp:positionH>
              <wp:positionV relativeFrom="paragraph">
                <wp:posOffset>-493076</wp:posOffset>
              </wp:positionV>
              <wp:extent cx="2205420" cy="556830"/>
              <wp:effectExtent b="0" l="0" r="0" t="0"/>
              <wp:wrapNone/>
              <wp:docPr id="2061165527" name="image9.png"/>
              <a:graphic>
                <a:graphicData uri="http://schemas.openxmlformats.org/drawingml/2006/picture">
                  <pic:pic>
                    <pic:nvPicPr>
                      <pic:cNvPr id="0" name="image9.png"/>
                      <pic:cNvPicPr preferRelativeResize="0"/>
                    </pic:nvPicPr>
                    <pic:blipFill>
                      <a:blip r:embed="rId3"/>
                      <a:srcRect/>
                      <a:stretch>
                        <a:fillRect/>
                      </a:stretch>
                    </pic:blipFill>
                    <pic:spPr>
                      <a:xfrm>
                        <a:off x="0" y="0"/>
                        <a:ext cx="2205420" cy="55683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NormalWeb">
    <w:name w:val="Normal (Web)"/>
    <w:basedOn w:val="Normal"/>
    <w:uiPriority w:val="99"/>
    <w:semiHidden w:val="1"/>
    <w:unhideWhenUsed w:val="1"/>
    <w:rsid w:val="00BC73A0"/>
    <w:pPr>
      <w:spacing w:after="100" w:afterAutospacing="1" w:before="100" w:beforeAutospacing="1" w:line="240" w:lineRule="auto"/>
    </w:pPr>
    <w:rPr>
      <w:rFonts w:ascii="Times New Roman" w:cs="Times New Roman" w:eastAsia="Times New Roman" w:hAnsi="Times New Roman"/>
      <w:sz w:val="24"/>
      <w:szCs w:val="24"/>
    </w:rPr>
  </w:style>
  <w:style w:type="paragraph" w:styleId="Cabealho">
    <w:name w:val="header"/>
    <w:basedOn w:val="Normal"/>
    <w:link w:val="CabealhoChar"/>
    <w:uiPriority w:val="99"/>
    <w:unhideWhenUsed w:val="1"/>
    <w:rsid w:val="00CF660C"/>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CF660C"/>
  </w:style>
  <w:style w:type="paragraph" w:styleId="Rodap">
    <w:name w:val="footer"/>
    <w:basedOn w:val="Normal"/>
    <w:link w:val="RodapChar"/>
    <w:uiPriority w:val="99"/>
    <w:unhideWhenUsed w:val="1"/>
    <w:rsid w:val="00CF660C"/>
    <w:pPr>
      <w:tabs>
        <w:tab w:val="center" w:pos="4252"/>
        <w:tab w:val="right" w:pos="8504"/>
      </w:tabs>
      <w:spacing w:after="0" w:line="240" w:lineRule="auto"/>
    </w:pPr>
  </w:style>
  <w:style w:type="character" w:styleId="RodapChar" w:customStyle="1">
    <w:name w:val="Rodapé Char"/>
    <w:basedOn w:val="Fontepargpadro"/>
    <w:link w:val="Rodap"/>
    <w:uiPriority w:val="99"/>
    <w:rsid w:val="00CF660C"/>
  </w:style>
  <w:style w:type="character" w:styleId="TextodoEspaoReservado">
    <w:name w:val="Placeholder Text"/>
    <w:basedOn w:val="Fontepargpadro"/>
    <w:uiPriority w:val="99"/>
    <w:semiHidden w:val="1"/>
    <w:rsid w:val="00987ECD"/>
    <w:rPr>
      <w:color w:val="808080"/>
    </w:rPr>
  </w:style>
  <w:style w:type="paragraph" w:styleId="PargrafodaLista">
    <w:name w:val="List Paragraph"/>
    <w:basedOn w:val="Normal"/>
    <w:uiPriority w:val="34"/>
    <w:qFormat w:val="1"/>
    <w:rsid w:val="00CB36D5"/>
    <w:pPr>
      <w:ind w:left="720"/>
      <w:contextualSpacing w:val="1"/>
    </w:pPr>
  </w:style>
  <w:style w:type="character" w:styleId="Hyperlink">
    <w:name w:val="Hyperlink"/>
    <w:basedOn w:val="Fontepargpadro"/>
    <w:uiPriority w:val="99"/>
    <w:unhideWhenUsed w:val="1"/>
    <w:rsid w:val="0031629C"/>
    <w:rPr>
      <w:color w:val="0563c1" w:themeColor="hyperlink"/>
      <w:u w:val="single"/>
    </w:rPr>
  </w:style>
  <w:style w:type="character" w:styleId="MenoPendente">
    <w:name w:val="Unresolved Mention"/>
    <w:basedOn w:val="Fontepargpadro"/>
    <w:uiPriority w:val="99"/>
    <w:semiHidden w:val="1"/>
    <w:unhideWhenUsed w:val="1"/>
    <w:rsid w:val="0031629C"/>
    <w:rPr>
      <w:color w:val="605e5c"/>
      <w:shd w:color="auto" w:fill="e1dfdd" w:val="clear"/>
    </w:rPr>
  </w:style>
  <w:style w:type="paragraph" w:styleId="Textodebalo">
    <w:name w:val="Balloon Text"/>
    <w:basedOn w:val="Normal"/>
    <w:link w:val="TextodebaloChar"/>
    <w:uiPriority w:val="99"/>
    <w:semiHidden w:val="1"/>
    <w:unhideWhenUsed w:val="1"/>
    <w:rsid w:val="00457AC6"/>
    <w:pPr>
      <w:spacing w:after="0" w:line="240" w:lineRule="auto"/>
    </w:pPr>
    <w:rPr>
      <w:rFonts w:ascii="Segoe UI" w:cs="Segoe UI" w:hAnsi="Segoe UI"/>
      <w:sz w:val="18"/>
      <w:szCs w:val="18"/>
    </w:rPr>
  </w:style>
  <w:style w:type="character" w:styleId="TextodebaloChar" w:customStyle="1">
    <w:name w:val="Texto de balão Char"/>
    <w:basedOn w:val="Fontepargpadro"/>
    <w:link w:val="Textodebalo"/>
    <w:uiPriority w:val="99"/>
    <w:semiHidden w:val="1"/>
    <w:rsid w:val="00457AC6"/>
    <w:rPr>
      <w:rFonts w:ascii="Segoe UI" w:cs="Segoe UI" w:hAnsi="Segoe UI"/>
      <w:sz w:val="18"/>
      <w:szCs w:val="18"/>
    </w:rPr>
  </w:style>
  <w:style w:type="paragraph" w:styleId="Legenda">
    <w:name w:val="caption"/>
    <w:basedOn w:val="Normal"/>
    <w:next w:val="Normal"/>
    <w:uiPriority w:val="35"/>
    <w:unhideWhenUsed w:val="1"/>
    <w:qFormat w:val="1"/>
    <w:rsid w:val="00D32A21"/>
    <w:pPr>
      <w:spacing w:after="200" w:line="240" w:lineRule="auto"/>
    </w:pPr>
    <w:rPr>
      <w:i w:val="1"/>
      <w:iCs w:val="1"/>
      <w:color w:val="44546a" w:themeColor="text2"/>
      <w:sz w:val="18"/>
      <w:szCs w:val="1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 Id="rId3" Type="http://schemas.openxmlformats.org/officeDocument/2006/relationships/theme" Target="theme/theme1.xml"/><Relationship Id="rId4" Type="http://schemas.openxmlformats.org/officeDocument/2006/relationships/settings" Target="settings.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image" Target="media/image6.png"/><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3" Type="http://schemas.openxmlformats.org/officeDocument/2006/relationships/image" Target="media/image6.png"/></Relationships>
</file>

<file path=word/_rels/header1.xml.rels><?xml version='1.0' encoding='UTF-8' standalone='yes'?>
<Relationships xmlns="http://schemas.openxmlformats.org/package/2006/relationships"/>
</file>

<file path=word/_rels/header2.xml.rels><?xml version='1.0' encoding='UTF-8' standalone='yes'?>
<Relationships xmlns="http://schemas.openxmlformats.org/package/2006/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Zt/ZbMde3SNLX0HU65YcE0NyIw==">CgMxLjAaHwoBMBIaChgICVIUChJ0YWJsZS5mbWE2M2VybWo3emwaMAoBMRIrCikIB0IlChFRdWF0dHJvY2VudG8gU2FucxIQQXJpYWwgVW5pY29kZSBNUzIIaC5namRneHMyDmguZXM2OWhjcGpid3JhMgloLjNkeTZ2a204AHIhMTd6ejRDQ2dFUHB3VUdndGY5MVdGS3dMb25SZjdlemVB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2026-03-17T14:36:00Z</dcterms:created>
  <dc:creator>TributÁgil</dc:creator>
</cp:coreProperties>
</file>