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image/x-emf" Extension="em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jc w:val="both"/>
        <w:rPr>
          <w:rFonts w:ascii="Quicksand" w:cs="Quicksand" w:eastAsia="Quicksand" w:hAnsi="Quicksand"/>
          <w:b w:val="1"/>
          <w:bCs w:val="1"/>
          <w:sz w:val="21"/>
          <w:szCs w:val="21"/>
        </w:rPr>
      </w:pPr>
      <w:bookmarkStart w:colFirst="0" w:colLast="0" w:name="_heading=h.un5f2a3ffr3f" w:id="0"/>
      <w:bookmarkEnd w:id="0"/>
      <w:r w:rsidDel="00000000" w:rsidR="00000000" w:rsidRPr="00000000">
        <w:rPr>
          <w:rFonts w:ascii="Quicksand" w:cs="Quicksand" w:eastAsia="Quicksand" w:hAnsi="Quicksand"/>
          <w:b w:val="1"/>
          <w:bCs w:val="1"/>
          <w:sz w:val="21"/>
          <w:szCs w:val="21"/>
          <w:rtl w:val="0"/>
        </w:rPr>
        <w:t xml:space="preserve">AO ILUSTRÍSSIMO SENHOR PROCURADOR-CHEFE DA </w:t>
        <w:t xml:space="preserve">FAZENDA NACIONAL</w:t>
        <w:t xml:space="preserve"> </w:t>
        <w:t xml:space="preserve">DA SEÇÃO DE SALVADOR/BA</w:t>
      </w:r>
    </w:p>
    <w:p w:rsidR="00000000" w:rsidDel="00000000" w:rsidP="00000000" w:rsidRDefault="00000000" w:rsidRPr="00000000" w14:paraId="00000003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i w:val="1"/>
          <w:iCs w:val="1"/>
          <w:sz w:val="21"/>
          <w:szCs w:val="21"/>
          <w:rtl w:val="0"/>
        </w:rPr>
        <w:t xml:space="preserve">CDA n.º </w:t>
        <w:t xml:space="preserve">70 6 14 000111-22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sz w:val="21"/>
          <w:szCs w:val="21"/>
          <w:rtl w:val="0"/>
        </w:rPr>
        <w:t xml:space="preserve">Maria Exemplo da Silva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, </w:t>
        <w:t xml:space="preserve">brasileira, solteira, servidora pública, inscrito(a) no CPF sob nº 000.000.000-00, Rua das Flores, 10, Salvador/BA</w:t>
        <w:t xml:space="preserve">, por intermédio de </w:t>
        <w:t xml:space="preserve">suas advogadas</w:t>
        <w:t xml:space="preserve"> que esta </w:t>
        <w:t xml:space="preserve">subscrevem</w:t>
        <w:t xml:space="preserve">, </w:t>
        <w:t xml:space="preserve">constituídas</w:t>
        <w:t xml:space="preserve"> mediante instrumento de mandato anexo (Doc. </w:t>
      </w:r>
      <w:r>
        <w:rPr>
          <w:rFonts w:ascii="Quicksand" w:cs="Quicksand" w:eastAsia="Quicksand" w:hAnsi="Quicksand"/>
          <w:sz w:val="21"/>
          <w:szCs w:val="21"/>
          <w:highlight w:val="yellow"/>
          <w:rtl w:val="0"/>
        </w:rPr>
        <w:t xml:space="preserve">[PREENCHER: nº do Doc. – mandato]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), vem, respeitosamente, a Vossa Senhoria, tendo em vista o regramento contido no artigo 5º, XXXIV, da Constituição Federal</w:t>
        <w:t xml:space="preserve"/>
        <w:t xml:space="preserve"/>
        <w:t xml:space="preserve"/>
        <w:t xml:space="preserve">, nos artigos 20-B e 20-C da Lei nº 10.522/2002 e nos artigos 15 a 20 da Portaria PGFN nº 33/2018</w:t>
        <w:t xml:space="preserve"/>
        <w:t xml:space="preserve">, e no artigo 205 do CTN, apresentar o presente </w:t>
      </w:r>
    </w:p>
    <w:p w:rsidR="00000000" w:rsidDel="00000000" w:rsidP="00000000" w:rsidRDefault="00000000" w:rsidRPr="00000000" w14:paraId="00000009">
      <w:pPr>
        <w:spacing w:after="0" w:lineRule="auto"/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-8718</wp:posOffset>
                </wp:positionH>
                <wp:positionV relativeFrom="paragraph">
                  <wp:posOffset>96887</wp:posOffset>
                </wp:positionV>
                <wp:extent cx="5643636" cy="394335"/>
                <wp:effectExtent b="0" l="0" r="0" t="0"/>
                <wp:wrapNone/>
                <wp:docPr id="2061165496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528945" y="3587595"/>
                          <a:ext cx="5634111" cy="38481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30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-8718</wp:posOffset>
                </wp:positionH>
                <wp:positionV relativeFrom="paragraph">
                  <wp:posOffset>96887</wp:posOffset>
                </wp:positionV>
                <wp:extent cx="5643636" cy="394335"/>
                <wp:effectExtent b="0" l="0" r="0" t="0"/>
                <wp:wrapNone/>
                <wp:docPr id="2061165497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43636" cy="39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jc w:val="center"/>
        <w:rPr>
          <w:rFonts w:ascii="Quicksand" w:cs="Quicksand" w:eastAsia="Quicksand" w:hAnsi="Quicksand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color w:val="ffffff"/>
          <w:sz w:val="24"/>
          <w:szCs w:val="24"/>
          <w:rtl w:val="0"/>
        </w:rPr>
        <w:t xml:space="preserve">PEDIDO DE REVISÃO DE DÉBITO FISCAL</w:t>
      </w:r>
    </w:p>
    <w:p w:rsidR="00000000" w:rsidDel="00000000" w:rsidP="00000000" w:rsidRDefault="00000000" w:rsidRPr="00000000" w14:paraId="0000000C">
      <w:pPr>
        <w:spacing w:before="240" w:lineRule="auto"/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em razão dos fatos e fundamentos que doravante serão expostos. </w:t>
      </w:r>
    </w:p>
    <w:p w:rsidR="00000000" w:rsidDel="00000000" w:rsidP="00000000" w:rsidRDefault="00000000" w:rsidRPr="00000000" w14:paraId="0000000D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>
        <w:rPr>
          <w:rFonts w:ascii="Times New Roman" w:cs="Times New Roman" w:eastAsia="Times New Roman" w:hAnsi="Times New Roman"/>
          <w:b/>
          <w:bCs/>
          <w:sz w:val="21"/>
          <w:szCs w:val="21"/>
          <w:rtl w:val="0"/>
        </w:rPr>
        <w:t xml:space="preserve">PRELIMINARMENTE</w:t>
      </w:r>
    </w:p>
    <w:p>
      <w:pPr>
        <w:jc w:val="both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>
        <w:rPr>
          <w:rFonts w:ascii="Times New Roman" w:cs="Times New Roman" w:eastAsia="Times New Roman" w:hAnsi="Times New Roman"/>
          <w:i/>
          <w:iCs/>
          <w:sz w:val="21"/>
          <w:szCs w:val="21"/>
          <w:rtl w:val="0"/>
        </w:rPr>
        <w:t xml:space="preserve">Quadro sinóptico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Com o escopo de conferir celeridade à análise administrativa e evidenciar a patente causa extintiva do crédito tributário inscrito, sintetizam-se as teses basilares que fundamentam este pleito no quadro sinóptico a seguir:</w:t>
      </w:r>
    </w:p>
    <w:tbl>
      <w:tblPr>
        <w:tblW w:w="9000" w:type="dxa"/>
        <w:jc w:val="left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Look w:val="0000"/>
      </w:tblPr>
      <w:tblGrid>
        <w:gridCol w:w="3200"/>
        <w:gridCol w:w="5800"/>
      </w:tblGrid>
      <w:tr>
        <w:trPr>
          <w:cantSplit/>
          <w:tblHeader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  <w:jc w:val="center"/>
            </w:pPr>
            <w:r>
              <w:rPr>
                <w:rFonts w:ascii="Quicksand" w:hAnsi="Quicksand" w:cs="Quicksand"/>
                <w:b/>
                <w:bCs/>
                <w:sz w:val="21"/>
                <w:szCs w:val="21"/>
              </w:rPr>
              <w:t xml:space="preserve">Tese</w:t>
            </w:r>
          </w:p>
        </w:tc>
        <w:tc>
          <w:tcPr>
            <w:tcW w:w="5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  <w:jc w:val="center"/>
            </w:pPr>
            <w:r>
              <w:rPr>
                <w:rFonts w:ascii="Quicksand" w:hAnsi="Quicksand" w:cs="Quicksand"/>
                <w:b/>
                <w:bCs/>
                <w:sz w:val="21"/>
                <w:szCs w:val="21"/>
              </w:rPr>
              <w:t xml:space="preserve">Fundamento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Decadência do direito de constituir o crédito tributário</w:t>
            </w:r>
          </w:p>
        </w:tc>
        <w:tc>
          <w:tcPr>
            <w:tcW w:w="5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b/>
                <w:bCs/>
                <w:sz w:val="21"/>
                <w:szCs w:val="21"/>
              </w:rPr>
              <w:t xml:space="preserve">Art. 150, § 4º, e art. 173, I, do CTN; art. 156, V, do CTN; Súmula 555/STJ; REsp 973.733/SC (Tema 163/STJ)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Lançamento notificado após o transcurso do prazo decadencial</w:t>
            </w:r>
          </w:p>
        </w:tc>
        <w:tc>
          <w:tcPr>
            <w:tcW w:w="5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Extinção do crédito e nulidade da inscrição em dívida ativa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Dever de autotutela da Administração</w:t>
            </w:r>
          </w:p>
        </w:tc>
        <w:tc>
          <w:tcPr>
            <w:tcW w:w="5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b/>
                <w:bCs/>
                <w:sz w:val="21"/>
                <w:szCs w:val="21"/>
              </w:rPr>
              <w:t xml:space="preserve">Súmula 473/STF</w:t>
            </w:r>
            <w:r>
              <w:rPr>
                <w:rFonts w:ascii="Quicksand" w:hAnsi="Quicksand" w:cs="Quicksand"/>
                <w:sz w:val="21"/>
                <w:szCs w:val="21"/>
              </w:rPr>
              <w:t xml:space="preserve">; matéria de ordem pública, reconhecível de ofício</w:t>
            </w:r>
          </w:p>
        </w:tc>
      </w:tr>
    </w:tbl>
    <w:p>
      <w:pPr>
        <w:jc w:val="both"/>
        <w:rPr>
          <w:rFonts w:ascii="Quicksand" w:cs="Quicksand" w:eastAsia="Quicksand" w:hAnsi="Quicksand"/>
          <w:sz w:val="21"/>
          <w:szCs w:val="21"/>
        </w:rPr>
      </w:pP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DOS FATOS </w:t>
        <w:tab/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Trata-se de débito tributário inscrito em dívida ativa em desfavor de </w:t>
        <w:t xml:space="preserve">Maria Exemplo da Silva</w:t>
        <w:t xml:space="preserve">, materializado na Certidão de Dívida Ativa (CDA) nº </w:t>
        <w:t xml:space="preserve">70 6 14 000111-22</w:t>
        <w:t xml:space="preserve">, originário de </w:t>
        <w:t xml:space="preserve">lançamento de ofício</w:t>
        <w:t xml:space="preserve"> relativo a </w:t>
        <w:t xml:space="preserve">IRPF</w:t>
        <w:t xml:space="preserve">, período(s) de apuração </w:t>
        <w:t xml:space="preserve">2005 e 2006</w:t>
        <w:t xml:space="preserve">.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Em que pese a natureza e os fundamentos jurídicos que justificaram a cobrança do aludido valor, observa-se que o referido crédito restou fulminado pela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DECADÊNCIA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 — perda do direito do Fisco de constituir o crédito tributário pelo lançamento —, uma vez que o lançamento somente foi notificado ao contribuinte após o transcurso do prazo quinquenal previsto no Código Tributário Nacional, pelo que se impõe o cancelamento da inscrição e a extinção do crédito,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nos termos do art. 156, V, c/c arts. 150, § 4º, e 173, I, todos do CTN.</w:t>
      </w:r>
    </w:p>
    <w:p w:rsidR="00000000" w:rsidDel="00000000" w:rsidP="00000000" w:rsidRDefault="00000000" w:rsidRPr="00000000" w14:paraId="00000011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É o que se passa a demonstrar.</w:t>
      </w:r>
    </w:p>
    <w:p w:rsidR="00000000" w:rsidDel="00000000" w:rsidP="00000000" w:rsidRDefault="00000000" w:rsidRPr="00000000" w14:paraId="00000012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shape id="2061165498" style="position:absolute;margin-left:379.2pt;margin-top:52.8pt;width:1.45pt;height:1.45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 dyT+wfKKEqcdEEJJOpAyAkLlAyz7JbHqPFt+JrR/j5O2C1AyeLD97rlHdrk5DJaNEMg4rPgqLzgD VE4b7Cr+sXvOHjijKFFL6xAqfgTim/r2ptwdPRBLaaSK9zH6RyFI9TBIyp0HTDetC4OMaRs64aXa yw7EuijuhXIYAWMWJwavywZa+Wkj2x7S8ckkgCXOnk6DU1fFpffWKBmTqRhR/2jJzg15Ss4z1BtP d0mDiz8bppvrBefca3qaYDSwNxniixyShtCBBKxd41T+P2OSHChzbWsU5E2g7Zy6OF1jG9yLtFYL 9DQy2CWWdl8YYFxA/RJtUuwdxgtdzJ9dfwMAAP//AwBQSwMEFAAGAAgAAAAhADj9If/WAAAAlAEA AAsAAABfcmVscy8ucmVsc6SQwWrDMAyG74O9g9F9cZrDGKNOL6PQa+kewNiKYxpbRjLZ+vYzg8Ey ettRv9D3iX9/+EyLWpElUjaw63pQmB35mIOB98vx6QWUVJu9XSijgRsKHMbHh/0ZF1vbkcyxiGqU LAbmWsur1uJmTFY6KpjbZiJOtraRgy7WXW1APfT9s+bfDBg3THXyBvjkB1CXW2nmP+wUHZPQVDtH SdM0RXePqj195DOujWI5YDXgWb5DxrVrz4G+79390xvYljm6I9uEb+S2fhyoZT96vely/AIAAP// AwBQSwMEFAAGAAgAAAAhAImzFoR9AQAAKgMAAA4AAABkcnMvZTJvRG9jLnhtbJxSy27CMBC8V+o/ WL6XJFChNiJwKKrEoZQD/QDj2MRq7I3WDgl/3w2QAq2qSlyifcSzMzs7mbW2ZDuF3oDLeDKIOVNO Qm7cNuMf69eHJ858EC4XJTiV8b3yfDa9v5s0VaqGUECZK2QE4nzaVBkvQqjSKPKyUFb4AVTKUVMD WhEoxW2Uo2gI3ZbRMI7HUQOYVwhSeU/V+bHJpwd8rZUM71p7FViZ8ec4JnqhD7APNqcgmk5EukVR FUaeKIkbGFlhHBH4hpqLIFiN5heUNRLBgw4DCTYCrY1UBz2kLIl/KFu4z05V8ihrTCW4oFxYCQz9 7g6NW0bYkrNN8wY5uSPqAPyESOv534wj6TnI2hKfoyOoShHoHHxhKs8ZpibPOC7y5Mzf7V7OClZ4 1rXcrZB1/ycjzpywxGltHO2PcrKnl7+8fk+d6NT6C7nVaDtPiDBrM053sO++B8tVG5ik4mhMZUn1 LrjAPL7tJ1zsnsZeuXyZd5QuTnz6BQAA//8DAFBLAwQUAAYACAAAACEAnmQQgxACAAASBQAAEAAA AGRycy9pbmsvaW5rMS54bWy0U1FvmzAQfp+0/2B5D3sJYBsIAZX0aZEmbdLUdtL6SMENVsFExoTk 3++wiZOqqfqyCYmzz3ff3X3+fHN7aBu056oXncwx9QlGXJZdJeQ2x78fNt4Ko14XsiqaTvIcH3mP b9efP90I+dI2GfwRIMh+WrVNjmutd1kQjOPoj6HfqW3ACAmD7/Ll5w+8nrMq/iyk0FCyP7nKTmp+ 0BNYJqocl/pAXDxg33eDKrk7njyqPEdoVZR806m20A6xLqTkDZJFC33/wUgfd7AQUGfLFUatgIE9 5tMoiVbfUnAUhxxf7AdosYdOWhxcx3z8D5ibt5hTWyFLlglGc0sV3089BYbz7P3Zf6lux5UW/Eyz JWU+OKLS7g0/lijF+64ZprvBaF80A1BGCQFZzLVpcIWQt3jAzT/FA17exbts7jU183iXPMykOUmd rlaLloPQ253TmO4BeHLfa2WeAyMs8gjzaPpA0yxaZiz2E5ZeXMWs4hPmkxr62uE9qbNezYljzU42 ikrXjnTikyhNmeP9kvVr2TUX21p/kD4Pb/Kdfq68RiMpNE9zx59z/MU8SGQyrcOMQxFFCaPLxVcC H01jssAEPm/J2IIg4q2WsbFxGBkbEesPQzrt0cr8Qd7GsiQ0lhITjaLUHtsdsykWwMLNRaYojxID 5kXU2jixpcPYgHqMEhsXs/DV23FMgCjWfwEAAP//AwBQSwMEFAAGAAgAAAAhADUp0D7gAAAACwEA AA8AAABkcnMvZG93bnJldi54bWxMj8FOwzAMhu9IvENkJG4sHaNd1TWdJqTBBQ50SOyYNaapaJyq ybbu7fFOcLT/T78/l+vJ9eKEY+g8KZjPEhBIjTcdtQo+d9uHHESImozuPaGCCwZYV7c3pS6MP9MH nurYCi6hUGgFNsahkDI0Fp0OMz8gcfbtR6cjj2MrzajPXO56+ZgkmXS6I75g9YDPFpuf+ugU9F+v 7+nuzQYTNot9/dLWcdtclLq/mzYrEBGn+AfDVZ/VoWKngz+SCaJXsEzzJ0Y5SNIMBBPLbL4Acbhu 8hRkVcr/P1S/AAAA//8DAFBLAwQUAAYACAAAACEAeRi8nb8AAAAhAQAAGQAAAGRycy9fcmVscy9l Mm9Eb2MueG1sLnJlbHOEz7FqxDAMBuC90Hcw2hslHcpR4mQ5DrKWFG41jpKYxLKxnNJ7+3rswcEN GoTQ90tt/+t39UNJXGANTVWDIrZhcrxo+B4vbydQkg1PZg9MGm4k0HevL+0X7SaXJVldFFUUFg1r zvETUexK3kgVInGZzCF5k0ubFozGbmYhfK/rD0z/DejuTDVMGtIwNaDGWyzJz+0wz87SOdjDE+cH EWgPycFf/V5QkxbKGhxvWKqpyqGAXYt3j3V/AAAA//8DAFBLAQItABQABgAIAAAAIQCbMyc3DAEA AC0CAAATAAAAAAAAAAAAAAAAAAAAAABbQ29udGVudF9UeXBlc10ueG1sUEsBAi0AFAAGAAgAAAAh ADj9If/WAAAAlAEAAAsAAAAAAAAAAAAAAAAAPQEAAF9yZWxzLy5yZWxzUEsBAi0AFAAGAAgAAAAh AImzFoR9AQAAKgMAAA4AAAAAAAAAAAAAAAAAPAIAAGRycy9lMm9Eb2MueG1sUEsBAi0AFAAGAAgA AAAhAJ5kEIMQAgAAEgUAABAAAAAAAAAAAAAAAAAA5QMAAGRycy9pbmsvaW5rMS54bWxQSwECLQAU AAYACAAAACEANSnQPuAAAAALAQAADwAAAAAAAAAAAAAAAAAjBgAAZHJzL2Rvd25yZXYueG1sUEsB Ai0AFAAGAAgAAAAhAHkYvJ2/AAAAIQEAABkAAAAAAAAAAAAAAAAAMAcAAGRycy9fcmVscy9lMm9E b2MueG1sLnJlbHNQSwUGAAAAAAYABgB4AQAAJggAAAAA ">
            <v:imagedata r:id="rId2" o:title=""/>
          </v:shape>
        </w:pict>
      </w:r>
      <w:r w:rsidDel="00000000" w:rsidR="00000000" w:rsidRPr="00000000">
        <w:pict>
          <v:shape id="2061165499" style="position:absolute;margin-left:379.95pt;margin-top:43.75pt;width:1.9pt;height:1.6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 dyT+wfKKEqcdEEJJOpAyAkLlAyz7JbHqPFt+JrR/j5O2C1AyeLD97rlHdrk5DJaNEMg4rPgqLzgD VE4b7Cr+sXvOHjijKFFL6xAqfgTim/r2ptwdPRBLaaSK9zH6RyFI9TBIyp0HTDetC4OMaRs64aXa yw7EuijuhXIYAWMWJwavywZa+Wkj2x7S8ckkgCXOnk6DU1fFpffWKBmTqRhR/2jJzg15Ss4z1BtP d0mDiz8bppvrBefca3qaYDSwNxniixyShtCBBKxd41T+P2OSHChzbWsU5E2g7Zy6OF1jG9yLtFYL 9DQy2CWWdl8YYFxA/RJtUuwdxgtdzJ9dfwMAAP//AwBQSwMEFAAGAAgAAAAhADj9If/WAAAAlAEA AAsAAABfcmVscy8ucmVsc6SQwWrDMAyG74O9g9F9cZrDGKNOL6PQa+kewNiKYxpbRjLZ+vYzg8Ey ettRv9D3iX9/+EyLWpElUjaw63pQmB35mIOB98vx6QWUVJu9XSijgRsKHMbHh/0ZF1vbkcyxiGqU LAbmWsur1uJmTFY6KpjbZiJOtraRgy7WXW1APfT9s+bfDBg3THXyBvjkB1CXW2nmP+wUHZPQVDtH SdM0RXePqj195DOujWI5YDXgWb5DxrVrz4G+79390xvYljm6I9uEb+S2fhyoZT96vely/AIAAP// AwBQSwMEFAAGAAgAAAAhANPR7uuGAQAALAMAAA4AAABkcnMvZTJvRG9jLnhtbJxSy27CMBC8V+o/ WL6XJIjSNiLhUFSJQykH+gGuYxOrsTdaGwJ/300gBVpVlbhE+4hnZ3Z2Mt3Zim0VegMu48kg5kw5 CYVx64y/r17uHjnzQbhCVOBUxvfK82l+ezNp6lQNoYSqUMgIxPm0qTNehlCnUeRlqazwA6iVo6YG tCJQiuuoQNEQuq2iYRyPowawqBGk8p6qs0OT5x2+1kqGN629CqzK+FMcE73QB9gGo3vOPihIHmIe 5RORrlHUpZFHSuIKRlYYRwS+oWYiCLZB8wvKGongQYeBBBuB1kaqTg8pS+Ifyubus1WVjOQGUwku KBeWAkO/u65xzQhb0QaaVyjIHbEJwI+ItJ7/zTiQnoHcWOJzcARVJQKdgy9N7TnD1BQZx3mRnPi7 7fNJwRJPuhbbJbL2/2TEmROWOK2Mo/1RTvb08heX76kTHVt/Ie802tYTIsx2Gac72LffznK1C0xS cZwMqS6pkTzSpZyhHl73M862T4MvfD7PW1JnR55/AQAA//8DAFBLAwQUAAYACAAAACEASI0jdSEC AABDBQAAEAAAAGRycy9pbmsvaW5rMS54bWy0U8lu2zAQvRfoPxDsoRfL4mZtiJxTDRRogSJJgfao SIxFRKIMil7y9x2RsqwgTk8tBIic7XHm8fHm9tQ26CBNrzqdY7okGElddpXS2xz/fNgECUa9LXRV NJ2WOX6RPb5df/xwo/Rz22TwR4Cg+2HXNjmurd1lYXg8HpdHvuzMNmSE8PCrfv7+Da/Hqko+Ka0s HNmfXWWnrTzZASxTVY5LeyJTPmDfd3tTyik8eEx5ybCmKOWmM21hJ8S60Fo2SBct9P0LI/uyg42C c7bSYNQqGDhgSypikXxJwVGccjyz99BiD520OLyO+fs/YG7eYg5tcRZHMUZjS5U8DD2FjvPs/dl/ mG4njVXyQrMnZQy8oNLbjh9PlJF91+yHu8HoUDR7oIwSArIYz6bhFULe4gE3/xQPeHkXb97ca2rG 8eY8jKRNkjpfrVWtBKG3u0ljtgfgwX1vjXsOjDAREBbQ9IGmmYgyFoN6ktlVjCo+Yz6afV9PeI/m olcXmVjzkx1VZeuJdLIkq4n0OeXXSmuptrX9W+04tiuelHPlHToxoXGOO/mU40/uKSJX6R1uEIoE onHKFp8JfIKmC0zgi9MFQQQi3K0JGRZgzC0r5wwi70wi50xjv3iLch9MxawQRWywUORSkfAW9Zk8 cZnC1/PxpJV3UresfAobsQX1bkZ9FuMOMODc2YhSvuDQdSwWlAQioGwVv3psE4GgovUfAAAA//8D AFBLAwQUAAYACAAAACEAugvqouEAAAAJAQAADwAAAGRycy9kb3ducmV2LnhtbEyPwU7DMBBE70j8 g7VI3KhTqtRNyKaqkHKpBKgBgbi5sUki4nWwnTb8PeYEx9U8zbwttrMZ2Ek731tCWC4SYJoaq3pq EV6eq5sNMB8kKTlY0gjf2sO2vLwoZK7smQ76VIeWxRLyuUToQhhzzn3TaSP9wo6aYvZhnZEhnq7l yslzLDcDv02SNTeyp7jQyVHfd7r5rCeDsJqGp4fDvv7aP76/9dVumb5WLkW8vpp3d8CCnsMfDL/6 UR3K6HS0EynPBgSRZllEETYiBRYBsV4JYEeELBHAy4L//6D8AQAA//8DAFBLAwQUAAYACAAAACEA eRi8nb8AAAAhAQAAGQAAAGRycy9fcmVscy9lMm9Eb2MueG1sLnJlbHOEz7FqxDAMBuC90Hcw2hsl HcpR4mQ5DrKWFG41jpKYxLKxnNJ7+3rswcENGoTQ90tt/+t39UNJXGANTVWDIrZhcrxo+B4vbydQ kg1PZg9MGm4k0HevL+0X7SaXJVldFFUUFg1rzvETUexK3kgVInGZzCF5k0ubFozGbmYhfK/rD0z/ DejuTDVMGtIwNaDGWyzJz+0wz87SOdjDE+cHEWgPycFf/V5QkxbKGhxvWKqpyqGAXYt3j3V/AAAA //8DAFBLAQItABQABgAIAAAAIQCbMyc3DAEAAC0CAAATAAAAAAAAAAAAAAAAAAAAAABbQ29udGVu dF9UeXBlc10ueG1sUEsBAi0AFAAGAAgAAAAhADj9If/WAAAAlAEAAAsAAAAAAAAAAAAAAAAAPQEA AF9yZWxzLy5yZWxzUEsBAi0AFAAGAAgAAAAhANPR7uuGAQAALAMAAA4AAAAAAAAAAAAAAAAAPAIA AGRycy9lMm9Eb2MueG1sUEsBAi0AFAAGAAgAAAAhAEiNI3UhAgAAQwUAABAAAAAAAAAAAAAAAAAA 7gMAAGRycy9pbmsvaW5rMS54bWxQSwECLQAUAAYACAAAACEAugvqouEAAAAJAQAADwAAAAAAAAAA AAAAAAA9BgAAZHJzL2Rvd25yZXYueG1sUEsBAi0AFAAGAAgAAAAhAHkYvJ2/AAAAIQEAABkAAAAA AAAAAAAAAAAASwcAAGRycy9fcmVscy9lMm9Eb2MueG1sLnJlbHNQSwUGAAAAAAYABgB4AQAAQQgA AAAA ">
            <v:imagedata r:id="rId1" o:title=""/>
          </v:shape>
        </w:pic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DO CABIMENTO DA PRESENTE PETIÇÃO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Defesa do devedor amparada pela doutrina e jurisprudência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1B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Como é cediço, a Constituição Federal de 1988, à evidência do que se pode inferir, reserva elementos com o condão de assegurar que o contribuinte possa ter acesso à verdadeira justiça fiscal. Isto é o que se verifica da análise do artigo 5º, inciso LV, que abaixo se transcreve:</w:t>
      </w:r>
    </w:p>
    <w:p w:rsidR="00000000" w:rsidDel="00000000" w:rsidP="00000000" w:rsidRDefault="00000000" w:rsidRPr="00000000" w14:paraId="0000001D">
      <w:pPr>
        <w:spacing w:after="0" w:lineRule="auto"/>
        <w:ind w:left="1701" w:firstLine="0"/>
        <w:jc w:val="both"/>
        <w:rPr>
          <w:rFonts w:ascii="Quicksand" w:cs="Quicksand" w:eastAsia="Quicksand" w:hAnsi="Quicksand"/>
          <w:sz w:val="18"/>
          <w:szCs w:val="18"/>
        </w:rPr>
      </w:pPr>
      <w:r w:rsidDel="00000000" w:rsidR="00000000" w:rsidRPr="00000000">
        <w:rPr>
          <w:rFonts w:ascii="Quicksand" w:cs="Quicksand" w:eastAsia="Quicksand" w:hAnsi="Quicksand"/>
          <w:sz w:val="18"/>
          <w:szCs w:val="18"/>
          <w:rtl w:val="0"/>
        </w:rPr>
        <w:t xml:space="preserve">“Aos litigantes, em processo judicial ou administrativo, e aos acusados em geral são assegurados o contraditório e ampla defesa, com os meios e recursos a ela inerentes.” </w:t>
      </w:r>
    </w:p>
    <w:p w:rsidR="00000000" w:rsidDel="00000000" w:rsidP="00000000" w:rsidRDefault="00000000" w:rsidRPr="00000000" w14:paraId="0000001E">
      <w:pPr>
        <w:spacing w:after="0" w:lineRule="auto"/>
        <w:ind w:left="1701" w:firstLine="0"/>
        <w:jc w:val="both"/>
        <w:rPr>
          <w:rFonts w:ascii="Quicksand" w:cs="Quicksand" w:eastAsia="Quicksand" w:hAnsi="Quicksan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Ademais, com o direito de petição insculpido no artigo 5º, XXXIV, da Carta Magna, o sujeito passivo dispõe instrumento eficaz, permitindo-lhe levar junto à Administração determinado fato ilegal ou abusivo, no caso em que dado ato administrativo afronte seu direito. </w:t>
      </w:r>
    </w:p>
    <w:p w:rsidR="00000000" w:rsidDel="00000000" w:rsidP="00000000" w:rsidRDefault="00000000" w:rsidRPr="00000000" w14:paraId="00000020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Tais institutos constituem importante medida de economia processual – pela possibilidade concreta de que os atos permeados de vícios ou arbitrariedades possam ser sanados ou extirpados antes de que se constituam formalmente, e não apenas depois, no âmbito do Poder Judiciário. Além disso, consubstancia medida de resguardo das garantias individuais, na medida em que preserva o direito do cidadão não ver formulada, contra si, pretensão em relação à qual não possa opor suas razões, no âmbito do devido processo legal. </w:t>
      </w:r>
    </w:p>
    <w:p w:rsidR="00000000" w:rsidDel="00000000" w:rsidP="00000000" w:rsidRDefault="00000000" w:rsidRPr="00000000" w14:paraId="00000021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Não bastasse, com o teor da Súmula n° 473, do STF, a Administração Tributária deixa de ter a faculdade, passando a ter o dever de anular os seus próprios atos, quando eivados de vício. Nesse sentido:</w:t>
      </w:r>
    </w:p>
    <w:p w:rsidR="00000000" w:rsidDel="00000000" w:rsidP="00000000" w:rsidRDefault="00000000" w:rsidRPr="00000000" w14:paraId="00000023">
      <w:pPr>
        <w:spacing w:after="0" w:lineRule="auto"/>
        <w:ind w:left="1701" w:firstLine="0"/>
        <w:jc w:val="both"/>
        <w:rPr>
          <w:rFonts w:ascii="Quicksand" w:cs="Quicksand" w:eastAsia="Quicksand" w:hAnsi="Quicksand"/>
          <w:sz w:val="18"/>
          <w:szCs w:val="18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sz w:val="18"/>
          <w:szCs w:val="18"/>
          <w:rtl w:val="0"/>
        </w:rPr>
        <w:t xml:space="preserve">Súmula 473 do STF </w:t>
      </w:r>
      <w:r w:rsidDel="00000000" w:rsidR="00000000" w:rsidRPr="00000000">
        <w:rPr>
          <w:rFonts w:ascii="Quicksand" w:cs="Quicksand" w:eastAsia="Quicksand" w:hAnsi="Quicksand"/>
          <w:sz w:val="18"/>
          <w:szCs w:val="18"/>
          <w:rtl w:val="0"/>
        </w:rPr>
        <w:t xml:space="preserve">– “a administração pode anular seus próprios atos, quando eivados de vícios que os tornam ilegais, porque deles não se originam direitos; ou revogá-los, por motivo de conveniência ou oportunidade, respeitados os direitos adquiridos, e ressalvada, em todos os casos, a apreciação judicial.”</w:t>
      </w:r>
    </w:p>
    <w:p w:rsidR="00000000" w:rsidDel="00000000" w:rsidP="00000000" w:rsidRDefault="00000000" w:rsidRPr="00000000" w14:paraId="00000024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No âmbito da Procuradoria-Geral da Fazenda Nacional, o pedido de revisão de dívida inscrita encontra disciplina específica nos artigos 20-B e 20-C da Lei nº 10.522/2002 e nos artigos 15 a 20 da Portaria PGFN nº 33/2018, que admitem expressamente a alegação de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decadência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 como fundamento para o cancelamento da inscrição.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Ressalte-se, ademais, que a decadência é causa extintiva do próprio crédito tributário (art. 156, V, do CTN) e constitui matéria de ordem pública, cujo reconhecimento independe de provocação, devendo a Administração Tributária declará-la de ofício tão logo constatada.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Ultrapassadas estas digressões preliminares, passa-se à análise da decadência.</w:t>
      </w:r>
    </w:p>
    <w:p w:rsidR="00000000" w:rsidDel="00000000" w:rsidP="00000000" w:rsidRDefault="00000000" w:rsidRPr="00000000" w14:paraId="00000026">
      <w:pPr>
        <w:jc w:val="both"/>
        <w:rPr>
          <w:rFonts w:ascii="Quicksand" w:cs="Quicksand" w:eastAsia="Quicksand" w:hAnsi="Quicksand"/>
          <w:sz w:val="18"/>
          <w:szCs w:val="18"/>
        </w:rPr>
      </w:pPr>
      <w:r w:rsidDel="00000000" w:rsidR="00000000" w:rsidRPr="00000000">
        <w:rPr>
          <w:rtl w:val="0"/>
        </w:rPr>
      </w:r>
    </w:p>
    <w:p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>
        <w:rPr>
          <w:rFonts w:ascii="Times New Roman" w:cs="Times New Roman" w:eastAsia="Times New Roman" w:hAnsi="Times New Roman"/>
          <w:b/>
          <w:bCs/>
          <w:sz w:val="21"/>
          <w:szCs w:val="21"/>
          <w:rtl w:val="0"/>
        </w:rPr>
        <w:t xml:space="preserve">DA DECADÊNCIA DO DIREITO DE CONSTITUIR O CRÉDITO TRIBUTÁRIO</w:t>
      </w:r>
    </w:p>
    <w:p>
      <w:pPr>
        <w:jc w:val="both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>
        <w:rPr>
          <w:rFonts w:ascii="Times New Roman" w:cs="Times New Roman" w:eastAsia="Times New Roman" w:hAnsi="Times New Roman"/>
          <w:i/>
          <w:iCs/>
          <w:sz w:val="21"/>
          <w:szCs w:val="21"/>
          <w:rtl w:val="0"/>
        </w:rPr>
        <w:t xml:space="preserve">Perda do direito de constituir o crédito pelo lançamento. Extinção do crédito tributário.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A decadência tributária consiste na perda do direito de a Fazenda Pública constituir o crédito tributário pelo lançamento, em razão do transcurso do prazo legal sem que o Fisco tenha formalizado o procedimento administrativo respectivo. Diferencia-se da prescrição, que atinge a pretensão de cobrança judicial do crédito já constituído.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O instituto encontra previsão expressa no Código Tributário Nacional, que erige a decadência como causa peremptória de extinção do crédito tributário:</w:t>
      </w:r>
    </w:p>
    <w:p>
      <w:pPr>
        <w:spacing w:after="0" w:lineRule="auto"/>
        <w:ind w:left="1701" w:firstLine="0"/>
        <w:jc w:val="both"/>
        <w:rPr>
          <w:rFonts w:ascii="Quicksand" w:cs="Quicksand" w:eastAsia="Quicksand" w:hAnsi="Quicksand"/>
          <w:sz w:val="18"/>
          <w:szCs w:val="18"/>
        </w:rPr>
      </w:pPr>
      <w:r>
        <w:rPr>
          <w:rFonts w:ascii="Quicksand" w:cs="Quicksand" w:eastAsia="Quicksand" w:hAnsi="Quicksand"/>
          <w:b/>
          <w:bCs/>
          <w:sz w:val="18"/>
          <w:szCs w:val="18"/>
          <w:rtl w:val="0"/>
        </w:rPr>
        <w:t xml:space="preserve">Art. 156 do CTN: </w:t>
      </w:r>
      <w:r>
        <w:rPr>
          <w:rFonts w:ascii="Quicksand" w:cs="Quicksand" w:eastAsia="Quicksand" w:hAnsi="Quicksand"/>
          <w:sz w:val="18"/>
          <w:szCs w:val="18"/>
          <w:rtl w:val="0"/>
        </w:rPr>
        <w:t xml:space="preserve">Extinguem o crédito tributário: (...) V - a prescrição e</w:t>
      </w:r>
      <w:r>
        <w:rPr>
          <w:rFonts w:ascii="Quicksand" w:cs="Quicksand" w:eastAsia="Quicksand" w:hAnsi="Quicksand"/>
          <w:b/>
          <w:bCs/>
          <w:sz w:val="18"/>
          <w:szCs w:val="18"/>
          <w:rtl w:val="0"/>
        </w:rPr>
        <w:t xml:space="preserve"> a decadência;</w:t>
      </w:r>
    </w:p>
    <w:p>
      <w:pPr>
        <w:spacing w:after="0" w:lineRule="auto"/>
        <w:ind w:left="1701" w:firstLine="0"/>
        <w:jc w:val="both"/>
        <w:rPr>
          <w:rFonts w:ascii="Quicksand" w:cs="Quicksand" w:eastAsia="Quicksand" w:hAnsi="Quicksand"/>
          <w:sz w:val="18"/>
          <w:szCs w:val="18"/>
        </w:rPr>
      </w:pPr>
      <w:r>
        <w:rPr>
          <w:rFonts w:ascii="Quicksand" w:cs="Quicksand" w:eastAsia="Quicksand" w:hAnsi="Quicksand"/>
          <w:b/>
          <w:bCs/>
          <w:sz w:val="18"/>
          <w:szCs w:val="18"/>
          <w:rtl w:val="0"/>
        </w:rPr>
        <w:t xml:space="preserve">Art. 150, § 4º do CTN: Se a lei não fixar prazo à homologação, será ele de cinco anos, a contar da ocorrência do fato gerador; </w:t>
      </w:r>
      <w:r>
        <w:rPr>
          <w:rFonts w:ascii="Quicksand" w:cs="Quicksand" w:eastAsia="Quicksand" w:hAnsi="Quicksand"/>
          <w:sz w:val="18"/>
          <w:szCs w:val="18"/>
          <w:rtl w:val="0"/>
        </w:rPr>
        <w:t xml:space="preserve">expirado esse prazo sem que a Fazenda Pública se tenha pronunciado, considera-se homologado o lançamento e definitivamente extinto o crédito, salvo se comprovada a ocorrência de dolo, fraude ou simulação. (...)</w:t>
      </w:r>
    </w:p>
    <w:p>
      <w:pPr>
        <w:spacing w:after="0" w:lineRule="auto"/>
        <w:ind w:left="1701" w:firstLine="0"/>
        <w:jc w:val="both"/>
        <w:rPr>
          <w:rFonts w:ascii="Quicksand" w:cs="Quicksand" w:eastAsia="Quicksand" w:hAnsi="Quicksand"/>
          <w:sz w:val="18"/>
          <w:szCs w:val="18"/>
        </w:rPr>
      </w:pPr>
      <w:r>
        <w:rPr>
          <w:rFonts w:ascii="Quicksand" w:cs="Quicksand" w:eastAsia="Quicksand" w:hAnsi="Quicksand"/>
          <w:b/>
          <w:bCs/>
          <w:sz w:val="18"/>
          <w:szCs w:val="18"/>
          <w:rtl w:val="0"/>
        </w:rPr>
        <w:t xml:space="preserve">Art. 173, I do CTN: O direito de a Fazenda Pública constituir o crédito tributário extingue-se após 5 (cinco) anos, contados: </w:t>
      </w:r>
    </w:p>
    <w:p>
      <w:pPr>
        <w:spacing w:after="0" w:lineRule="auto"/>
        <w:ind w:left="1701" w:firstLine="0"/>
        <w:jc w:val="both"/>
        <w:rPr>
          <w:rFonts w:ascii="Quicksand" w:cs="Quicksand" w:eastAsia="Quicksand" w:hAnsi="Quicksand"/>
          <w:sz w:val="18"/>
          <w:szCs w:val="18"/>
        </w:rPr>
      </w:pPr>
      <w:r>
        <w:rPr>
          <w:rFonts w:ascii="Quicksand" w:cs="Quicksand" w:eastAsia="Quicksand" w:hAnsi="Quicksand"/>
          <w:b/>
          <w:bCs/>
          <w:sz w:val="18"/>
          <w:szCs w:val="18"/>
          <w:rtl w:val="0"/>
        </w:rPr>
        <w:t xml:space="preserve">I - do primeiro dia do exercício seguinte àquele em que o lançamento poderia ter sido efetuado;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Assim, para os tributos sujeitos a lançamento por homologação, a regra é a do art. 150, § 4º, do CTN: havendo pagamento antecipado, o prazo decadencial de 5 (cinco) anos conta-se da ocorrência do fato gerador. Não havendo pagamento antecipado, ou comprovada a ocorrência de dolo, fraude ou simulação, aplica-se a regra do art. 173, I, do CTN, contando-se o prazo do primeiro dia do exercício seguinte àquele em que o lançamento poderia ter sido efetuado. Nesse sentido:</w:t>
      </w:r>
    </w:p>
    <w:p>
      <w:pPr>
        <w:spacing w:after="0" w:lineRule="auto"/>
        <w:ind w:left="1701" w:firstLine="0"/>
        <w:jc w:val="both"/>
        <w:rPr>
          <w:rFonts w:ascii="Quicksand" w:cs="Quicksand" w:eastAsia="Quicksand" w:hAnsi="Quicksand"/>
          <w:sz w:val="18"/>
          <w:szCs w:val="18"/>
        </w:rPr>
      </w:pPr>
      <w:r>
        <w:rPr>
          <w:rFonts w:ascii="Quicksand" w:cs="Quicksand" w:eastAsia="Quicksand" w:hAnsi="Quicksand"/>
          <w:b/>
          <w:bCs/>
          <w:sz w:val="18"/>
          <w:szCs w:val="18"/>
          <w:rtl w:val="0"/>
        </w:rPr>
        <w:t xml:space="preserve">Súmula 555 do STJ: </w:t>
      </w:r>
      <w:r>
        <w:rPr>
          <w:rFonts w:ascii="Quicksand" w:cs="Quicksand" w:eastAsia="Quicksand" w:hAnsi="Quicksand"/>
          <w:sz w:val="18"/>
          <w:szCs w:val="18"/>
          <w:rtl w:val="0"/>
        </w:rPr>
        <w:t xml:space="preserve">Quando não houver o pagamento antecipado, o prazo decadencial para a constituição do crédito tributário é de cinco anos, contados do primeiro dia do exercício seguinte àquele em que o lançamento poderia ter sido efetuado.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No mesmo sentido, ao julgar o Recurso Especial Repetitivo nº 973.733/SC (Tema 163), a Primeira Seção do Superior Tribunal de Justiça consolidou que o prazo decadencial quinquenal conta-se do primeiro dia do exercício seguinte àquele em que o lançamento poderia ter sido efetuado (art. 173, I, do CTN) nos casos em que a lei não prevê o pagamento antecipado da exação ou quando, a despeito da previsão legal, ele não ocorre, sem a constatação de dolo, fraude ou simulação do contribuinte, sendo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injustificada a aplicação cumulativa dos prazos dos arts. 150, § 4º, e 173 do CTN.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Destaca-se, ainda, que o prazo decadencial, diferentemente do prescricional, não se sujeita a interrupção ou suspensão, de modo que nenhum ato posterior da Administração tem o condão de reabrir o prazo já esgotado.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Sendo assim, passa-se a demonstrar a inequívoca ocorrência da decadência no caso em apreço.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</w:p>
    <w:p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>
        <w:rPr>
          <w:rFonts w:ascii="Times New Roman" w:cs="Times New Roman" w:eastAsia="Times New Roman" w:hAnsi="Times New Roman"/>
          <w:b/>
          <w:bCs/>
          <w:sz w:val="21"/>
          <w:szCs w:val="21"/>
          <w:rtl w:val="0"/>
        </w:rPr>
        <w:t xml:space="preserve">DA DECADÊNCIA DO CRÉDITO INSCRITO NA CDA nº </w:t>
        <w:t xml:space="preserve">70 6 14 000111-22</w:t>
      </w:r>
    </w:p>
    <w:p>
      <w:pPr>
        <w:jc w:val="both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>
        <w:rPr>
          <w:rFonts w:ascii="Times New Roman" w:cs="Times New Roman" w:eastAsia="Times New Roman" w:hAnsi="Times New Roman"/>
          <w:i/>
          <w:iCs/>
          <w:sz w:val="21"/>
          <w:szCs w:val="21"/>
          <w:rtl w:val="0"/>
        </w:rPr>
        <w:t xml:space="preserve">Impõe-se o cancelamento da inscrição.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Inicialmente, registra-se que o crédito constante da CDA nº </w:t>
        <w:t xml:space="preserve">70 6 14 000111-22</w:t>
        <w:t xml:space="preserve"> teve origem em </w:t>
        <w:t xml:space="preserve">lançamento de ofício</w:t>
        <w:t xml:space="preserve">, referente ao(s) período(s) de apuração </w:t>
        <w:t xml:space="preserve">2005 e 2006</w:t>
        <w:t xml:space="preserve">.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Quanto ao período de apuração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2005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, o fato gerador ocorreu em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30/06/2005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, 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  <w:t xml:space="preserve"/>
        <w:t xml:space="preserve"/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  <w:rPr>
          <w:rFonts w:ascii="Quicksand" w:cs="Quicksand" w:eastAsia="Quicksand" w:hAnsi="Quicksand"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não tendo havido pagamento antecipado da exação, razão pela qual o prazo decadencial rege-se pelo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art. 173, I, do CTN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 e pela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Súmula 555/STJ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, iniciando-se em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01/01/2006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, primeiro dia do exercício seguinte àquele em que o lançamento poderia ter sido efetuado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. Assim, o direito de a Fazenda Pública constituir o crédito extinguiu-se em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01/01/2011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.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Ocorre que o lançamento somente foi notificado ao contribuinte em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22/08/2013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, conforme </w:t>
        <w:t xml:space="preserve">auto_infracao.pdf</w:t>
        <w:t xml:space="preserve">, ou seja,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quando já consumada a decadência.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Quanto ao período de apuração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2006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, o fato gerador ocorreu em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30/06/2006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, 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  <w:t xml:space="preserve"/>
        <w:t xml:space="preserve"/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  <w:rPr>
          <w:rFonts w:ascii="Quicksand" w:cs="Quicksand" w:eastAsia="Quicksand" w:hAnsi="Quicksand"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tendo o contribuinte realizado o pagamento antecipado da exação, conforme </w:t>
        <w:t xml:space="preserve">comprovante_pagamento_2006.pdf</w:t>
        <w:t xml:space="preserve">, razão pela qual o prazo decadencial rege-se pelo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art. 150, § 4º, do CTN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, iniciando-se na data do próprio fato gerador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. Assim, o direito de a Fazenda Pública constituir o crédito extinguiu-se em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30/06/2011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.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Ocorre que o lançamento somente foi notificado ao contribuinte em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22/08/2013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, conforme </w:t>
        <w:t xml:space="preserve">auto_infracao.pdf</w:t>
        <w:t xml:space="preserve">, ou seja,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quando já consumada a decadência.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Registre-se que não consta do lançamento qualquer imputação de dolo, fraude ou simulação ao contribuinte que pudesse deslocar o marco inicial para a regra do art. 173, I, do CTN.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highlight w:val="yellow"/>
          <w:rtl w:val="0"/>
        </w:rPr>
        <w:t xml:space="preserve">[INSERIR FIGURA 1 – excerto do auto de infração / notificação de lançamento com a data de ciência, fonte: auto_infracao.pdf]</w:t>
      </w: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Quicksand" w:cs="Quicksand" w:eastAsia="Quicksand" w:hAnsi="Quicksand"/>
          <w:b/>
          <w:bCs/>
          <w:i/>
          <w:iCs/>
          <w:smallCaps w:val="0"/>
          <w:strike w:val="0"/>
          <w:color w:val="000000"/>
          <w:sz w:val="16"/>
          <w:szCs w:val="16"/>
          <w:u w:val="none"/>
          <w:vertAlign w:val="baseline"/>
          <w:rtl w:val="0"/>
        </w:rPr>
        <w:t xml:space="preserve">Figura 1 - Excerto da notificação do lançamento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Para fins de ilustração, a tabela abaixo sintetiza os marcos de cada período:</w:t>
      </w:r>
    </w:p>
    <w:tbl>
      <w:tblPr>
        <w:tblW w:w="9000" w:type="dxa"/>
        <w:jc w:val="left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Look w:val="0000"/>
      </w:tblPr>
      <w:tblGrid>
        <w:gridCol w:w="1000"/>
        <w:gridCol w:w="1250"/>
        <w:gridCol w:w="1350"/>
        <w:gridCol w:w="1250"/>
        <w:gridCol w:w="1250"/>
        <w:gridCol w:w="1500"/>
        <w:gridCol w:w="1400"/>
      </w:tblGrid>
      <w:tr>
        <w:trPr>
          <w:cantSplit/>
          <w:tblHeader/>
        </w:trPr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  <w:jc w:val="center"/>
            </w:pPr>
            <w:r>
              <w:rPr>
                <w:rFonts w:ascii="Quicksand" w:hAnsi="Quicksand" w:cs="Quicksand"/>
                <w:b/>
                <w:bCs/>
                <w:sz w:val="17"/>
                <w:szCs w:val="17"/>
              </w:rPr>
              <w:t xml:space="preserve">Período</w:t>
            </w:r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  <w:jc w:val="center"/>
            </w:pPr>
            <w:r>
              <w:rPr>
                <w:rFonts w:ascii="Quicksand" w:hAnsi="Quicksand" w:cs="Quicksand"/>
                <w:b/>
                <w:bCs/>
                <w:sz w:val="17"/>
                <w:szCs w:val="17"/>
              </w:rPr>
              <w:t xml:space="preserve">Fato gerador</w:t>
            </w:r>
          </w:p>
        </w:tc>
        <w:tc>
          <w:tcPr>
            <w:tcW w:w="13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  <w:jc w:val="center"/>
            </w:pPr>
            <w:r>
              <w:rPr>
                <w:rFonts w:ascii="Quicksand" w:hAnsi="Quicksand" w:cs="Quicksand"/>
                <w:b/>
                <w:bCs/>
                <w:sz w:val="17"/>
                <w:szCs w:val="17"/>
              </w:rPr>
              <w:t xml:space="preserve">Regra aplicável</w:t>
            </w:r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  <w:jc w:val="center"/>
            </w:pPr>
            <w:r>
              <w:rPr>
                <w:rFonts w:ascii="Quicksand" w:hAnsi="Quicksand" w:cs="Quicksand"/>
                <w:b/>
                <w:bCs/>
                <w:sz w:val="17"/>
                <w:szCs w:val="17"/>
              </w:rPr>
              <w:t xml:space="preserve">Marco inicial</w:t>
            </w:r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  <w:jc w:val="center"/>
            </w:pPr>
            <w:r>
              <w:rPr>
                <w:rFonts w:ascii="Quicksand" w:hAnsi="Quicksand" w:cs="Quicksand"/>
                <w:b/>
                <w:bCs/>
                <w:sz w:val="17"/>
                <w:szCs w:val="17"/>
              </w:rPr>
              <w:t xml:space="preserve">Termo final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  <w:jc w:val="center"/>
            </w:pPr>
            <w:r>
              <w:rPr>
                <w:rFonts w:ascii="Quicksand" w:hAnsi="Quicksand" w:cs="Quicksand"/>
                <w:b/>
                <w:bCs/>
                <w:sz w:val="17"/>
                <w:szCs w:val="17"/>
              </w:rPr>
              <w:t xml:space="preserve">Notificação do lançamento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  <w:jc w:val="center"/>
            </w:pPr>
            <w:r>
              <w:rPr>
                <w:rFonts w:ascii="Quicksand" w:hAnsi="Quicksand" w:cs="Quicksand"/>
                <w:b/>
                <w:bCs/>
                <w:sz w:val="17"/>
                <w:szCs w:val="17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17"/>
                <w:szCs w:val="17"/>
              </w:rPr>
              <w:t xml:space="preserve">2005</w:t>
            </w:r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17"/>
                <w:szCs w:val="17"/>
              </w:rPr>
              <w:t xml:space="preserve">30/06/2005</w:t>
            </w:r>
          </w:p>
        </w:tc>
        <w:tc>
          <w:tcPr>
            <w:tcW w:w="13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17"/>
                <w:szCs w:val="17"/>
              </w:rPr>
              <w:t xml:space="preserve">Art. 173, I, CTN</w:t>
            </w:r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17"/>
                <w:szCs w:val="17"/>
              </w:rPr>
              <w:t xml:space="preserve">01/01/2006</w:t>
            </w:r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17"/>
                <w:szCs w:val="17"/>
              </w:rPr>
              <w:t xml:space="preserve">01/01/2011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17"/>
                <w:szCs w:val="17"/>
              </w:rPr>
              <w:t xml:space="preserve">22/08/2013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b/>
                <w:bCs/>
                <w:sz w:val="17"/>
                <w:szCs w:val="17"/>
              </w:rPr>
              <w:t xml:space="preserve">Decadência consumada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17"/>
                <w:szCs w:val="17"/>
              </w:rPr>
              <w:t xml:space="preserve">2006</w:t>
            </w:r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17"/>
                <w:szCs w:val="17"/>
              </w:rPr>
              <w:t xml:space="preserve">30/06/2006</w:t>
            </w:r>
          </w:p>
        </w:tc>
        <w:tc>
          <w:tcPr>
            <w:tcW w:w="13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17"/>
                <w:szCs w:val="17"/>
              </w:rPr>
              <w:t xml:space="preserve">Art. 150, § 4º, CTN</w:t>
            </w:r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17"/>
                <w:szCs w:val="17"/>
              </w:rPr>
              <w:t xml:space="preserve">30/06/2006</w:t>
            </w:r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17"/>
                <w:szCs w:val="17"/>
              </w:rPr>
              <w:t xml:space="preserve">30/06/2011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17"/>
                <w:szCs w:val="17"/>
              </w:rPr>
              <w:t xml:space="preserve">22/08/2013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b/>
                <w:bCs/>
                <w:sz w:val="17"/>
                <w:szCs w:val="17"/>
              </w:rPr>
              <w:t xml:space="preserve">Decadência consumada</w:t>
            </w:r>
          </w:p>
        </w:tc>
      </w:tr>
    </w:tbl>
    <w:p>
      <w:pPr>
        <w:jc w:val="both"/>
        <w:rPr>
          <w:rFonts w:ascii="Quicksand" w:cs="Quicksand" w:eastAsia="Quicksand" w:hAnsi="Quicksand"/>
          <w:sz w:val="21"/>
          <w:szCs w:val="21"/>
        </w:rPr>
      </w:pP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Para fins de ilustração, a linha do tempo abaixo demonstra o curso do crédito tributário discutido e a ocorrência da decadência:</w:t>
      </w:r>
    </w:p>
    <w:tbl>
      <w:tblPr>
        <w:tblW w:w="9000" w:type="dxa"/>
        <w:jc w:val="left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Look w:val="0000"/>
      </w:tblPr>
      <w:tblGrid>
        <w:gridCol w:w="1500"/>
        <w:gridCol w:w="4500"/>
        <w:gridCol w:w="3000"/>
      </w:tblGrid>
      <w:tr>
        <w:trPr>
          <w:cantSplit/>
          <w:tblHeader/>
        </w:trPr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  <w:jc w:val="center"/>
            </w:pPr>
            <w:r>
              <w:rPr>
                <w:rFonts w:ascii="Quicksand" w:hAnsi="Quicksand" w:cs="Quicksand"/>
                <w:b/>
                <w:bCs/>
                <w:sz w:val="21"/>
                <w:szCs w:val="21"/>
              </w:rPr>
              <w:t xml:space="preserve">Data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  <w:jc w:val="center"/>
            </w:pPr>
            <w:r>
              <w:rPr>
                <w:rFonts w:ascii="Quicksand" w:hAnsi="Quicksand" w:cs="Quicksand"/>
                <w:b/>
                <w:bCs/>
                <w:sz w:val="21"/>
                <w:szCs w:val="21"/>
              </w:rPr>
              <w:t xml:space="preserve">Evento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  <w:jc w:val="center"/>
            </w:pPr>
            <w:r>
              <w:rPr>
                <w:rFonts w:ascii="Quicksand" w:hAnsi="Quicksand" w:cs="Quicksand"/>
                <w:b/>
                <w:bCs/>
                <w:sz w:val="21"/>
                <w:szCs w:val="21"/>
              </w:rPr>
              <w:t xml:space="preserve">Documento-fonte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30/06/2005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Fato gerador do período 2005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auto_infracao.pdf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01/01/2006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Marco inicial do prazo decadencial do período 2005 (Art. 173, I, CTN)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cálculo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30/06/2006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Fato gerador do período 2006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auto_infracao.pdf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30/06/2006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Marco inicial do prazo decadencial do período 2006 (Art. 150, § 4º, CTN)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cálculo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01/01/2011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Termo final do prazo decadencial do período 2005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cálculo (marco inicial + 5 anos)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30/06/2011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Termo final do prazo decadencial do período 2006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cálculo (marco inicial + 5 anos)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22/08/2013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Notificação do lançamento do período 2005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auto_infracao.pdf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22/08/2013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Notificação do lançamento do período 2006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auto_infracao.pdf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05/05/2015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Protesto da CDA 70 6 14 000111-22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extrato.pdf</w:t>
            </w:r>
          </w:p>
        </w:tc>
      </w:tr>
    </w:tbl>
    <w:p>
      <w:pPr>
        <w:jc w:val="both"/>
        <w:rPr>
          <w:rFonts w:ascii="Quicksand" w:cs="Quicksand" w:eastAsia="Quicksand" w:hAnsi="Quicksand"/>
          <w:sz w:val="21"/>
          <w:szCs w:val="21"/>
        </w:rPr>
      </w:pP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Diante do exposto, sendo o lançamento posterior ao termo final do prazo decadencial, o crédito tributário inscrito encontra-se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extinto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 (art. 156, V, do CTN), de modo que a manutenção da inscrição em dívida ativa — e de todos os seus efeitos, como protesto, inscrição em cadastros restritivos e óbice à emissão de certidão de regularidade fiscal — afronta o princípio da legalidade e impõe à Administração o dever de anular o próprio ato, nos termos da Súmula 473 do STF.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</w:p>
    <w:p w:rsidR="00000000" w:rsidDel="00000000" w:rsidP="00000000" w:rsidRDefault="00000000" w:rsidRPr="00000000" w14:paraId="00000079">
      <w:pPr>
        <w:spacing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DOS PEDIDOS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Pelas razões expostas, requer: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a) o reconhecimento da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decadência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 do direito de constituir o crédito tributário relativo ao(s) período(s) de apuração </w:t>
        <w:t xml:space="preserve">2005 e 2006</w:t>
        <w:t xml:space="preserve">, com a consequente extinção do crédito, nos termos do art. 156, V, do CTN;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b) 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  <w:rPr>
          <w:rFonts w:ascii="Quicksand" w:cs="Quicksand" w:eastAsia="Quicksand" w:hAnsi="Quicksand"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o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cancelamento integral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 da inscrição em dívida ativa nº </w:t>
        <w:t xml:space="preserve">70 6 14 000111-22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  <w:t xml:space="preserve"/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/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;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c</w:t>
        <w:t xml:space="preserve">) o cancelamento do protesto da CDA nº </w:t>
        <w:t xml:space="preserve">70 6 14 000111-22</w:t>
        <w:t xml:space="preserve">, sem a cobrança de quaisquer emolumentos ao devedor;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d</w:t>
        <w:t xml:space="preserve">) a baixa de eventuais registros no CADIN decorrentes da inscrição ora impugnada;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e</w:t>
        <w:t xml:space="preserve">) a emissão de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Certidão Negativa de Débitos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 que ateste a regularidade fiscal do devedor perante o Fisco.</w:t>
      </w:r>
    </w:p>
    <w:p w:rsidR="00000000" w:rsidDel="00000000" w:rsidP="00000000" w:rsidRDefault="00000000" w:rsidRPr="00000000" w14:paraId="0000007B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jc w:val="right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Termos em que pede deferimento.</w:t>
      </w:r>
    </w:p>
    <w:p w:rsidR="00000000" w:rsidDel="00000000" w:rsidP="00000000" w:rsidRDefault="00000000" w:rsidRPr="00000000" w14:paraId="0000007D">
      <w:pPr>
        <w:jc w:val="right"/>
        <w:rPr>
          <w:rFonts w:ascii="Quicksand" w:cs="Quicksand" w:eastAsia="Quicksand" w:hAnsi="Quicksand"/>
          <w:sz w:val="21"/>
          <w:szCs w:val="21"/>
        </w:rPr>
      </w:pPr>
      <w:bookmarkStart w:colFirst="0" w:colLast="0" w:name="_heading=h.6bp7s8dxv5ob" w:id="1"/>
      <w:bookmarkEnd w:id="1"/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Brumado/BA, 11 de outubro de 2026.</w:t>
      </w:r>
    </w:p>
    <w:p w:rsidR="00000000" w:rsidDel="00000000" w:rsidP="00000000" w:rsidRDefault="00000000" w:rsidRPr="00000000" w14:paraId="0000007E">
      <w:pPr>
        <w:jc w:val="right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right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6384"/>
        </w:tabs>
        <w:spacing w:after="0" w:lineRule="auto"/>
        <w:ind w:left="720" w:firstLine="0"/>
        <w:jc w:val="right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Advogada Um</w:t>
        <w:t xml:space="preserve"> | </w:t>
        <w:t xml:space="preserve">OAB BA 11.111</w:t>
      </w:r>
    </w:p>
    <w:p w:rsidR="00000000" w:rsidDel="00000000" w:rsidP="00000000" w:rsidRDefault="00000000" w:rsidRPr="00000000" w14:paraId="00000082">
      <w:pPr>
        <w:tabs>
          <w:tab w:val="left" w:leader="none" w:pos="6384"/>
        </w:tabs>
        <w:spacing w:after="0" w:lineRule="auto"/>
        <w:ind w:left="720" w:firstLine="0"/>
        <w:jc w:val="right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Advogada Dois</w:t>
        <w:t xml:space="preserve"> | </w:t>
        <w:t xml:space="preserve">OAB BA 22.222</w:t>
      </w:r>
    </w:p>
    <w:p w:rsidR="00000000" w:rsidDel="00000000" w:rsidP="00000000" w:rsidRDefault="00000000" w:rsidRPr="00000000" w14:paraId="00000081">
      <w:pPr>
        <w:jc w:val="right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16"/>
          <w:szCs w:val="16"/>
          <w:rtl w:val="0"/>
        </w:rPr>
        <w:t xml:space="preserve">Documento assinado digitalmente</w:t>
      </w:r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footerReference r:id="rId19" w:type="first"/>
      <w:pgSz w:h="16838" w:w="11906" w:orient="portrait"/>
      <w:pgMar w:bottom="1418" w:top="1701" w:left="1701" w:right="1418" w:header="709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Symbol"/>
  <w:font w:name="Quicksand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701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-1084896</wp:posOffset>
              </wp:positionH>
              <wp:positionV relativeFrom="paragraph">
                <wp:posOffset>-701283</wp:posOffset>
              </wp:positionV>
              <wp:extent cx="7558331" cy="930600"/>
              <wp:effectExtent b="0" l="0" r="0" t="0"/>
              <wp:wrapNone/>
              <wp:docPr id="2061165500" name=""/>
              <a:graphic>
                <a:graphicData uri="http://schemas.microsoft.com/office/word/2010/wordprocessingShape">
                  <wps:wsp>
                    <wps:cNvSpPr/>
                    <wps:cNvPr id="18" name="Shape 18"/>
                    <wps:spPr>
                      <a:xfrm>
                        <a:off x="1571597" y="3319463"/>
                        <a:ext cx="7548806" cy="921075"/>
                      </a:xfrm>
                      <a:prstGeom prst="rect">
                        <a:avLst/>
                      </a:prstGeom>
                      <a:solidFill>
                        <a:srgbClr val="7B7B7B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30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-1084896</wp:posOffset>
              </wp:positionH>
              <wp:positionV relativeFrom="paragraph">
                <wp:posOffset>-701283</wp:posOffset>
              </wp:positionV>
              <wp:extent cx="7558331" cy="930600"/>
              <wp:effectExtent b="0" l="0" r="0" t="0"/>
              <wp:wrapNone/>
              <wp:docPr id="2061165501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58331" cy="930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-610412</wp:posOffset>
              </wp:positionH>
              <wp:positionV relativeFrom="paragraph">
                <wp:posOffset>-486726</wp:posOffset>
              </wp:positionV>
              <wp:extent cx="2205420" cy="556830"/>
              <wp:effectExtent b="0" l="0" r="0" t="0"/>
              <wp:wrapNone/>
              <wp:docPr id="206116550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248053" y="3506348"/>
                        <a:ext cx="2195895" cy="547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0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Quicksand" w:cs="Quicksand" w:eastAsia="Quicksand" w:hAnsi="Quicksand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contato@exemplo.adv.br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30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Quicksand" w:cs="Quicksand" w:eastAsia="Quicksand" w:hAnsi="Quicksand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Quicksand" w:cs="Quicksand" w:eastAsia="Quicksand" w:hAnsi="Quicksand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www.exemplo.adv.br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-610412</wp:posOffset>
              </wp:positionH>
              <wp:positionV relativeFrom="paragraph">
                <wp:posOffset>-486726</wp:posOffset>
              </wp:positionV>
              <wp:extent cx="2205420" cy="556830"/>
              <wp:effectExtent b="0" l="0" r="0" t="0"/>
              <wp:wrapNone/>
              <wp:docPr id="2061165503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05420" cy="5568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3376149</wp:posOffset>
              </wp:positionH>
              <wp:positionV relativeFrom="paragraph">
                <wp:posOffset>-406081</wp:posOffset>
              </wp:positionV>
              <wp:extent cx="2205420" cy="556830"/>
              <wp:effectExtent b="0" l="0" r="0" t="0"/>
              <wp:wrapNone/>
              <wp:docPr id="2061165504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4248053" y="3506348"/>
                        <a:ext cx="2195895" cy="547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0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Quicksand" w:cs="Quicksand" w:eastAsia="Quicksand" w:hAnsi="Quicksand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Rua Exemplo, 100, Centro, Brumado/BA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3376149</wp:posOffset>
              </wp:positionH>
              <wp:positionV relativeFrom="paragraph">
                <wp:posOffset>-406081</wp:posOffset>
              </wp:positionV>
              <wp:extent cx="2205420" cy="556830"/>
              <wp:effectExtent b="0" l="0" r="0" t="0"/>
              <wp:wrapNone/>
              <wp:docPr id="2061165505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05420" cy="5568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/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BC73A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 w:val="1"/>
    <w:rsid w:val="00CF660C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CF660C"/>
  </w:style>
  <w:style w:type="paragraph" w:styleId="Rodap">
    <w:name w:val="footer"/>
    <w:basedOn w:val="Normal"/>
    <w:link w:val="RodapChar"/>
    <w:uiPriority w:val="99"/>
    <w:unhideWhenUsed w:val="1"/>
    <w:rsid w:val="00CF660C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CF660C"/>
  </w:style>
  <w:style w:type="character" w:styleId="TextodoEspaoReservado">
    <w:name w:val="Placeholder Text"/>
    <w:basedOn w:val="Fontepargpadro"/>
    <w:uiPriority w:val="99"/>
    <w:semiHidden w:val="1"/>
    <w:rsid w:val="00987ECD"/>
    <w:rPr>
      <w:color w:val="808080"/>
    </w:rPr>
  </w:style>
  <w:style w:type="paragraph" w:styleId="PargrafodaLista">
    <w:name w:val="List Paragraph"/>
    <w:basedOn w:val="Normal"/>
    <w:uiPriority w:val="34"/>
    <w:qFormat w:val="1"/>
    <w:rsid w:val="00CB36D5"/>
    <w:pPr>
      <w:ind w:left="720"/>
      <w:contextualSpacing w:val="1"/>
    </w:pPr>
  </w:style>
  <w:style w:type="character" w:styleId="Hyperlink">
    <w:name w:val="Hyperlink"/>
    <w:basedOn w:val="Fontepargpadro"/>
    <w:uiPriority w:val="99"/>
    <w:unhideWhenUsed w:val="1"/>
    <w:rsid w:val="0031629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31629C"/>
    <w:rPr>
      <w:color w:val="605e5c"/>
      <w:shd w:color="auto" w:fill="e1dfdd" w:val="clear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457AC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457AC6"/>
    <w:rPr>
      <w:rFonts w:ascii="Segoe UI" w:cs="Segoe UI" w:hAnsi="Segoe UI"/>
      <w:sz w:val="18"/>
      <w:szCs w:val="18"/>
    </w:rPr>
  </w:style>
  <w:style w:type="paragraph" w:styleId="Legenda">
    <w:name w:val="caption"/>
    <w:basedOn w:val="Normal"/>
    <w:next w:val="Normal"/>
    <w:uiPriority w:val="35"/>
    <w:unhideWhenUsed w:val="1"/>
    <w:qFormat w:val="1"/>
    <w:rsid w:val="00D32A21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paragraph" w:styleId="Textodenotadefim">
    <w:name w:val="endnote text"/>
    <w:basedOn w:val="Normal"/>
    <w:link w:val="TextodenotadefimChar"/>
    <w:uiPriority w:val="99"/>
    <w:semiHidden w:val="1"/>
    <w:unhideWhenUsed w:val="1"/>
    <w:rsid w:val="004F7571"/>
    <w:pPr>
      <w:spacing w:after="0" w:line="240" w:lineRule="auto"/>
    </w:pPr>
    <w:rPr>
      <w:sz w:val="20"/>
      <w:szCs w:val="20"/>
    </w:rPr>
  </w:style>
  <w:style w:type="character" w:styleId="TextodenotadefimChar" w:customStyle="1">
    <w:name w:val="Texto de nota de fim Char"/>
    <w:basedOn w:val="Fontepargpadro"/>
    <w:link w:val="Textodenotadefim"/>
    <w:uiPriority w:val="99"/>
    <w:semiHidden w:val="1"/>
    <w:rsid w:val="004F757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 w:val="1"/>
    <w:unhideWhenUsed w:val="1"/>
    <w:rsid w:val="004F7571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 w:val="1"/>
    <w:unhideWhenUsed w:val="1"/>
    <w:rsid w:val="004F7571"/>
    <w:pPr>
      <w:spacing w:after="0" w:line="240" w:lineRule="auto"/>
    </w:pPr>
    <w:rPr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 w:val="1"/>
    <w:rsid w:val="004F7571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 w:val="1"/>
    <w:unhideWhenUsed w:val="1"/>
    <w:rsid w:val="004F7571"/>
    <w:rPr>
      <w:vertAlign w:val="superscript"/>
    </w:rPr>
  </w:style>
  <w:style w:type="table" w:styleId="Tabelacomgrade">
    <w:name w:val="Table Grid"/>
    <w:basedOn w:val="Tabelanormal"/>
    <w:uiPriority w:val="39"/>
    <w:rsid w:val="00AC171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Relationship Id="rId2" Type="http://schemas.openxmlformats.org/officeDocument/2006/relationships/image" Target="media/image2.emf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0.png"/><Relationship Id="rId17" Type="http://schemas.openxmlformats.org/officeDocument/2006/relationships/header" Target="header1.xml"/><Relationship Id="rId5" Type="http://schemas.openxmlformats.org/officeDocument/2006/relationships/fontTable" Target="fontTable.xml"/><Relationship Id="rId19" Type="http://schemas.openxmlformats.org/officeDocument/2006/relationships/footer" Target="footer1.xml"/><Relationship Id="rId6" Type="http://schemas.openxmlformats.org/officeDocument/2006/relationships/numbering" Target="numbering.xml"/><Relationship Id="rId18" Type="http://schemas.openxmlformats.org/officeDocument/2006/relationships/header" Target="header2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3" Type="http://schemas.openxmlformats.org/officeDocument/2006/relationships/font" Target="fonts/Quicksand-regular.ttf"/><Relationship Id="rId4" Type="http://schemas.openxmlformats.org/officeDocument/2006/relationships/font" Target="fonts/Quicksand-bold.ttf"/></Relationships>
</file>

<file path=word/_rels/footer1.xml.rels><?xml version="1.0" encoding="UTF-8" standalone="yes"?><Relationships xmlns="http://schemas.openxmlformats.org/package/2006/relationships"><Relationship Id="rId3" Type="http://schemas.openxmlformats.org/officeDocument/2006/relationships/image" Target="media/image30.png"/></Relationships>
</file>

<file path=word/_rels/header1.xml.rels><?xml version='1.0' encoding='UTF-8' standalone='yes'?>
<Relationships xmlns="http://schemas.openxmlformats.org/package/2006/relationships"/>
</file>

<file path=word/_rels/header2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XNXVIiTvMX56EbcO1Zqs4qudYg==">CgMxLjAyDmgudW41ZjJhM2ZmcjNmMg5oLjZicDdzOGR4djVvYjgAciExRk9Ncy1ndG9tazZCd2lMTnlORjNYc2FLaDM4LTZiTFA=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2026-03-17T13:14:00Z</dcterms:created>
  <dc:creator>TributÁgil</dc:creator>
</cp:coreProperties>
</file>