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bookmarkStart w:colFirst="0" w:colLast="0" w:name="_heading=h.un5f2a3ffr3f" w:id="0"/>
      <w:bookmarkEnd w:id="0"/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AO ILUSTRÍSSIMO SENHOR PROCURADOR-CHEFE DA +++INS orgao_cobranca_extenso+++ +++INS unidade_cobranca+++</w:t>
      </w:r>
    </w:p>
    <w:p w:rsidR="00000000" w:rsidDel="00000000" w:rsidP="00000000" w:rsidRDefault="00000000" w:rsidRPr="00000000" w14:paraId="00000003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i w:val="1"/>
          <w:iCs w:val="1"/>
          <w:sz w:val="21"/>
          <w:szCs w:val="21"/>
          <w:rtl w:val="0"/>
        </w:rPr>
        <w:t xml:space="preserve">CDA n.º +++INS cdas_lista+++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+++INS devedor_nome+++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+++INS devedor_qualif_resto+++, por intermédio de +++INS tratamento_procurador+++ que esta +++INS subscreve_concord+++, +++INS constituido_concord+++ mediante instrumento de mandato anexo (Doc. +++INS doc_mandato+++), vem, respeitosamente, a Vossa Senhoria, tendo em vista o regramento contido no artigo 5º, XXXIV, da Constituição Federal+++IF ente_uniao+++, nos artigos 20-B e 20-C da Lei nº 10.522/2002 e nos artigos 15 a 20 da Portaria PGFN nº 33/2018+++END-IF+++, e no artigo 205 do CTN, apresentar o presente 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-8718</wp:posOffset>
                </wp:positionH>
                <wp:positionV relativeFrom="paragraph">
                  <wp:posOffset>96887</wp:posOffset>
                </wp:positionV>
                <wp:extent cx="5643636" cy="394335"/>
                <wp:effectExtent b="0" l="0" r="0" t="0"/>
                <wp:wrapNone/>
                <wp:docPr id="206116548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28945" y="3587595"/>
                          <a:ext cx="5634111" cy="38481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0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-8718</wp:posOffset>
                </wp:positionH>
                <wp:positionV relativeFrom="paragraph">
                  <wp:posOffset>96887</wp:posOffset>
                </wp:positionV>
                <wp:extent cx="5643636" cy="394335"/>
                <wp:effectExtent b="0" l="0" r="0" t="0"/>
                <wp:wrapNone/>
                <wp:docPr id="206116548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3636" cy="39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jc w:val="center"/>
        <w:rPr>
          <w:rFonts w:ascii="Quicksand" w:cs="Quicksand" w:eastAsia="Quicksand" w:hAnsi="Quicksand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ffffff"/>
          <w:sz w:val="24"/>
          <w:szCs w:val="24"/>
          <w:rtl w:val="0"/>
        </w:rPr>
        <w:t xml:space="preserve">PEDIDO DE REVISÃO DE DÉBITO FISCAL</w:t>
      </w:r>
    </w:p>
    <w:p w:rsidR="00000000" w:rsidDel="00000000" w:rsidP="00000000" w:rsidRDefault="00000000" w:rsidRPr="00000000" w14:paraId="0000000C">
      <w:pPr>
        <w:spacing w:before="24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em razão dos fatos e fundamentos que doravante serão expostos. </w:t>
      </w:r>
    </w:p>
    <w:p w:rsidR="00000000" w:rsidDel="00000000" w:rsidP="00000000" w:rsidRDefault="00000000" w:rsidRPr="00000000" w14:paraId="0000000D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rtl w:val="0"/>
        </w:rPr>
        <w:t xml:space="preserve">PRELIMINARMENTE</w:t>
      </w:r>
    </w:p>
    <w:p>
      <w:pPr>
        <w:jc w:val="both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>
        <w:rPr>
          <w:rFonts w:ascii="Times New Roman" w:cs="Times New Roman" w:eastAsia="Times New Roman" w:hAnsi="Times New Roman"/>
          <w:i/>
          <w:iCs/>
          <w:sz w:val="21"/>
          <w:szCs w:val="21"/>
          <w:rtl w:val="0"/>
        </w:rPr>
        <w:t xml:space="preserve">Quadro sinóptico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Com o escopo de conferir celeridade à análise administrativa e evidenciar a patente causa extintiva do crédito tributário inscrito, sintetizam-se as teses basilares que fundamentam este pleito no quadro sinóptico a seguir:</w:t>
      </w:r>
    </w:p>
    <w:tbl>
      <w:tblPr>
        <w:tblW w:w="9000" w:type="dxa"/>
        <w:jc w:val="left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Look w:val="0000"/>
      </w:tblPr>
      <w:tblGrid>
        <w:gridCol w:w="3200"/>
        <w:gridCol w:w="5800"/>
      </w:tblGrid>
      <w:tr>
        <w:trPr>
          <w:cantSplit/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Tese</w:t>
            </w:r>
          </w:p>
        </w:tc>
        <w:tc>
          <w:tcPr>
            <w:tcW w:w="5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Fundamento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Decadência do direito de constituir o crédito tributário</w:t>
            </w:r>
          </w:p>
        </w:tc>
        <w:tc>
          <w:tcPr>
            <w:tcW w:w="5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Art. 150, § 4º, e art. 173, I, do CTN; art. 156, V, do CTN; Súmula 555/STJ; REsp 973.733/SC (Tema 163/STJ)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Lançamento notificado após o transcurso do prazo decadencial</w:t>
            </w:r>
          </w:p>
        </w:tc>
        <w:tc>
          <w:tcPr>
            <w:tcW w:w="5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Extinção do crédito e nulidade da inscrição em dívida ativa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Dever de autotutela da Administração</w:t>
            </w:r>
          </w:p>
        </w:tc>
        <w:tc>
          <w:tcPr>
            <w:tcW w:w="5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Súmula 473/STF</w:t>
            </w:r>
            <w:r>
              <w:rPr>
                <w:rFonts w:ascii="Quicksand" w:hAnsi="Quicksand" w:cs="Quicksand"/>
                <w:sz w:val="21"/>
                <w:szCs w:val="21"/>
              </w:rPr>
              <w:t xml:space="preserve">; matéria de ordem pública, reconhecível de ofício</w:t>
            </w:r>
          </w:p>
        </w:tc>
      </w:tr>
    </w:tbl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DOS FATOS </w:t>
        <w:tab/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Trata-se de débito tributário inscrito em dívida ativa em desfavor de +++INS devedor_nome+++, materializado na Certidão de Dívida Ativa (CDA) nº +++INS cdas_lista+++, originário de +++INS origem_lancamento_extenso+++ relativo a +++INS tributo+++, período(s) de apuração +++INS periodos_lista+++.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Em que pese a natureza e os fundamentos jurídicos que justificaram a cobrança do aludido valor, observa-se que o referido crédito restou fulminado pela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DECADÊNCIA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— perda do direito do Fisco de constituir o crédito tributário pelo lançamento —, uma vez que o lançamento somente foi notificado ao contribuinte após o transcurso do prazo quinquenal previsto no Código Tributário Nacional, pelo que se impõe o cancelamento da inscrição e a extinção do crédito,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nos termos do art. 156, V, c/c arts. 150, § 4º, e 173, I, todos do CTN.</w:t>
      </w:r>
    </w:p>
    <w:p w:rsidR="00000000" w:rsidDel="00000000" w:rsidP="00000000" w:rsidRDefault="00000000" w:rsidRPr="00000000" w14:paraId="0000001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É o que se passa a demonstrar.</w:t>
      </w:r>
    </w:p>
    <w:p w:rsidR="00000000" w:rsidDel="00000000" w:rsidP="00000000" w:rsidRDefault="00000000" w:rsidRPr="00000000" w14:paraId="0000001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Tinta 13" style="position:absolute;margin-left:379.2pt;margin-top:52.8pt;width:1.45pt;height:1.4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">
            <v:imagedata r:id="rId2" o:title=""/>
          </v:shape>
        </w:pict>
      </w:r>
      <w:r w:rsidDel="00000000" w:rsidR="00000000" w:rsidRPr="00000000">
        <w:pict>
          <v:shape id="Tinta 14" style="position:absolute;margin-left:379.95pt;margin-top:43.75pt;width:1.9pt;height:1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">
            <v:imagedata r:id="rId1" o:title=""/>
          </v:shape>
        </w:pic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 CABIMENTO DA PRESENTE PETIÇÃO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Defesa do devedor amparada pela doutrina e jurisprudência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Como é cediço, a Constituição Federal de 1988, à evidência do que se pode inferir, reserva elementos com o condão de assegurar que o contribuinte possa ter acesso à verdadeira justiça fiscal. Isto é o que se verifica da análise do artigo 5º, inciso LV, que abaixo se transcreve:</w:t>
      </w:r>
    </w:p>
    <w:p w:rsidR="00000000" w:rsidDel="00000000" w:rsidP="00000000" w:rsidRDefault="00000000" w:rsidRPr="00000000" w14:paraId="0000001D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“Aos litigantes, em processo judicial ou administrativo, e aos acusados em geral são assegurados o contraditório e ampla defesa, com os meios e recursos a ela inerentes.” </w:t>
      </w:r>
    </w:p>
    <w:p w:rsidR="00000000" w:rsidDel="00000000" w:rsidP="00000000" w:rsidRDefault="00000000" w:rsidRPr="00000000" w14:paraId="0000001E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Ademais, com o direito de petição insculpido no artigo 5º, XXXIV, da Carta Magna, o sujeito passivo dispõe instrumento eficaz, permitindo-lhe levar junto à Administração determinado fato ilegal ou abusivo, no caso em que dado ato administrativo afronte seu direito. </w:t>
      </w:r>
    </w:p>
    <w:p w:rsidR="00000000" w:rsidDel="00000000" w:rsidP="00000000" w:rsidRDefault="00000000" w:rsidRPr="00000000" w14:paraId="00000020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Tais institutos constituem importante medida de economia processual – pela possibilidade concreta de que os atos permeados de vícios ou arbitrariedades possam ser sanados ou extirpados antes de que se constituam formalmente, e não apenas depois, no âmbito do Poder Judiciário. Além disso, consubstancia medida de resguardo das garantias individuais, na medida em que preserva o direito do cidadão não ver formulada, contra si, pretensão em relação à qual não possa opor suas razões, no âmbito do devido processo legal. </w:t>
      </w:r>
    </w:p>
    <w:p w:rsidR="00000000" w:rsidDel="00000000" w:rsidP="00000000" w:rsidRDefault="00000000" w:rsidRPr="00000000" w14:paraId="0000002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Não bastasse, com o teor da Súmula n° 473, do STF, a Administração Tributária deixa de ter a faculdade, passando a ter o dever de anular os seus próprios atos, quando eivados de vício. Nesse sentido:</w:t>
      </w:r>
    </w:p>
    <w:p w:rsidR="00000000" w:rsidDel="00000000" w:rsidP="00000000" w:rsidRDefault="00000000" w:rsidRPr="00000000" w14:paraId="00000023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Súmula 473 do STF </w:t>
      </w: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– “a administração pode anular seus próprios atos, quando eivados de vícios que os tornam ilegais, porque deles não se originam direitos; ou revogá-los, por motivo de conveniência ou oportunidade, respeitados os direitos adquiridos, e ressalvada, em todos os casos, a apreciação judicial.”</w:t>
      </w:r>
    </w:p>
    <w:p w:rsidR="00000000" w:rsidDel="00000000" w:rsidP="00000000" w:rsidRDefault="00000000" w:rsidRPr="00000000" w14:paraId="0000002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>
      <w:r>
        <w:t>+++IF ente_uniao+++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No âmbito da Procuradoria-Geral da Fazenda Nacional, o pedido de revisão de dívida inscrita encontra disciplina específica nos artigos 20-B e 20-C da Lei nº 10.522/2002 e nos artigos 15 a 20 da Portaria PGFN nº 33/2018, que admitem expressamente a alegação de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decadência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como fundamento para o cancelamento da inscrição.</w:t>
      </w:r>
    </w:p>
    <w:p>
      <w:r>
        <w:t>+++END-IF+++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Ressalte-se, ademais, que a decadência é causa extintiva do próprio crédito tributário (art. 156, V, do CTN) e constitui matéria de ordem pública, cujo reconhecimento independe de provocação, devendo a Administração Tributária declará-la de ofício tão logo constatada.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Ultrapassadas estas digressões preliminares, passa-se à análise da decadência.</w:t>
      </w:r>
    </w:p>
    <w:p w:rsidR="00000000" w:rsidDel="00000000" w:rsidP="00000000" w:rsidRDefault="00000000" w:rsidRPr="00000000" w14:paraId="00000026">
      <w:pPr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tl w:val="0"/>
        </w:rPr>
      </w:r>
    </w:p>
    <w:p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rtl w:val="0"/>
        </w:rPr>
        <w:t xml:space="preserve">DA DECADÊNCIA DO DIREITO DE CONSTITUIR O CRÉDITO TRIBUTÁRIO</w:t>
      </w:r>
    </w:p>
    <w:p>
      <w:pPr>
        <w:jc w:val="both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>
        <w:rPr>
          <w:rFonts w:ascii="Times New Roman" w:cs="Times New Roman" w:eastAsia="Times New Roman" w:hAnsi="Times New Roman"/>
          <w:i/>
          <w:iCs/>
          <w:sz w:val="21"/>
          <w:szCs w:val="21"/>
          <w:rtl w:val="0"/>
        </w:rPr>
        <w:t xml:space="preserve">Perda do direito de constituir o crédito pelo lançamento. Extinção do crédito tributário.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A decadência tributária consiste na perda do direito de a Fazenda Pública constituir o crédito tributário pelo lançamento, em razão do transcurso do prazo legal sem que o Fisco tenha formalizado o procedimento administrativo respectivo. Diferencia-se da prescrição, que atinge a pretensão de cobrança judicial do crédito já constituído.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O instituto encontra previsão expressa no Código Tributário Nacional, que erige a decadência como causa peremptória de extinção do crédito tributário:</w:t>
      </w:r>
    </w:p>
    <w:p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Art. 156 do CTN: </w:t>
      </w:r>
      <w:r>
        <w:rPr>
          <w:rFonts w:ascii="Quicksand" w:cs="Quicksand" w:eastAsia="Quicksand" w:hAnsi="Quicksand"/>
          <w:sz w:val="18"/>
          <w:szCs w:val="18"/>
          <w:rtl w:val="0"/>
        </w:rPr>
        <w:t xml:space="preserve">Extinguem o crédito tributário: (...) V - a prescrição e</w:t>
      </w: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 a decadência;</w:t>
      </w:r>
    </w:p>
    <w:p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Art. 150, § 4º do CTN: Se a lei não fixar prazo à homologação, será ele de cinco anos, a contar da ocorrência do fato gerador; </w:t>
      </w:r>
      <w:r>
        <w:rPr>
          <w:rFonts w:ascii="Quicksand" w:cs="Quicksand" w:eastAsia="Quicksand" w:hAnsi="Quicksand"/>
          <w:sz w:val="18"/>
          <w:szCs w:val="18"/>
          <w:rtl w:val="0"/>
        </w:rPr>
        <w:t xml:space="preserve">expirado esse prazo sem que a Fazenda Pública se tenha pronunciado, considera-se homologado o lançamento e definitivamente extinto o crédito, salvo se comprovada a ocorrência de dolo, fraude ou simulação. (...)</w:t>
      </w:r>
    </w:p>
    <w:p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Art. 173, I do CTN: O direito de a Fazenda Pública constituir o crédito tributário extingue-se após 5 (cinco) anos, contados: </w:t>
      </w:r>
    </w:p>
    <w:p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I - do primeiro dia do exercício seguinte àquele em que o lançamento poderia ter sido efetuado;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Assim, para os tributos sujeitos a lançamento por homologação, a regra é a do art. 150, § 4º, do CTN: havendo pagamento antecipado, o prazo decadencial de 5 (cinco) anos conta-se da ocorrência do fato gerador. Não havendo pagamento antecipado, ou comprovada a ocorrência de dolo, fraude ou simulação, aplica-se a regra do art. 173, I, do CTN, contando-se o prazo do primeiro dia do exercício seguinte àquele em que o lançamento poderia ter sido efetuado. Nesse sentido:</w:t>
      </w:r>
    </w:p>
    <w:p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>
        <w:rPr>
          <w:rFonts w:ascii="Quicksand" w:cs="Quicksand" w:eastAsia="Quicksand" w:hAnsi="Quicksand"/>
          <w:b/>
          <w:bCs/>
          <w:sz w:val="18"/>
          <w:szCs w:val="18"/>
          <w:rtl w:val="0"/>
        </w:rPr>
        <w:t xml:space="preserve">Súmula 555 do STJ: </w:t>
      </w:r>
      <w:r>
        <w:rPr>
          <w:rFonts w:ascii="Quicksand" w:cs="Quicksand" w:eastAsia="Quicksand" w:hAnsi="Quicksand"/>
          <w:sz w:val="18"/>
          <w:szCs w:val="18"/>
          <w:rtl w:val="0"/>
        </w:rPr>
        <w:t xml:space="preserve">Quando não houver o pagamento antecipado, o prazo decadencial para a constituição do crédito tributário é de cinco anos, contados do primeiro dia do exercício seguinte àquele em que o lançamento poderia ter sido efetuado.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No mesmo sentido, ao julgar o Recurso Especial Repetitivo nº 973.733/SC (Tema 163), a Primeira Seção do Superior Tribunal de Justiça consolidou que o prazo decadencial quinquenal conta-se do primeiro dia do exercício seguinte àquele em que o lançamento poderia ter sido efetuado (art. 173, I, do CTN) nos casos em que a lei não prevê o pagamento antecipado da exação ou quando, a despeito da previsão legal, ele não ocorre, sem a constatação de dolo, fraude ou simulação do contribuinte, sendo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injustificada a aplicação cumulativa dos prazos dos arts. 150, § 4º, e 173 do CTN.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Destaca-se, ainda, que o prazo decadencial, diferentemente do prescricional, não se sujeita a interrupção ou suspensão, de modo que nenhum ato posterior da Administração tem o condão de reabrir o prazo já esgotado.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Sendo assim, passa-se a demonstrar a inequívoca ocorrência da decadência no caso em apreço.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>
      <w:r>
        <w:t>+++FOR cda IN cdas+++</w:t>
      </w:r>
    </w:p>
    <w:p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rtl w:val="0"/>
        </w:rPr>
        <w:t xml:space="preserve">DA DECADÊNCIA DO CRÉDITO INSCRITO NA CDA nº +++INS $cda.numero+++</w:t>
      </w:r>
    </w:p>
    <w:p>
      <w:pPr>
        <w:jc w:val="both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>
        <w:rPr>
          <w:rFonts w:ascii="Times New Roman" w:cs="Times New Roman" w:eastAsia="Times New Roman" w:hAnsi="Times New Roman"/>
          <w:i/>
          <w:iCs/>
          <w:sz w:val="21"/>
          <w:szCs w:val="21"/>
          <w:rtl w:val="0"/>
        </w:rPr>
        <w:t xml:space="preserve">Impõe-se o cancelamento da inscrição.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Inicialmente, registra-se que o crédito constante da CDA nº +++INS $cda.numero+++ teve origem em +++INS $cda.origem+++, referente ao(s) período(s) de apuração +++INS $cda.periodos_lista+++.</w:t>
      </w:r>
    </w:p>
    <w:p>
      <w:r>
        <w:t>+++FOR p IN $cda.periodos_decaidos+++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Quanto ao período de apuração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+++INS $p.periodo+++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o fato gerador ocorreu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+++INS $p.data_fato_gerador+++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+++IF $p.regra_150_4+++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tendo o contribuinte realizado o pagamento antecipado da exação, conforme +++INS $p.fonte_pagamento+++, razão pela qual o prazo decadencial rege-se pelo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art. 150, § 4º, do CTN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iniciando-se na data do próprio fato gerador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+++END-IF+++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+++IF $p.regra_173_I &amp;&amp; !$p.dolo_fraude_imputado+++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não tendo havido pagamento antecipado da exação, razão pela qual o prazo decadencial rege-se pelo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art. 173, I, do CTN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e pela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Súmula 555/STJ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iniciando-se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+++INS $p.marco_inicial+++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primeiro dia do exercício seguinte àquele em que o lançamento poderia ter sido efetuado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+++END-IF+++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+++IF $p.regra_173_I &amp;&amp; $p.dolo_fraude_imputado+++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não tendo havido pagamento antecipado da exação — ou tendo sido imputada ao contribuinte a prática de dolo, fraude ou simulação —, razão pela qual o prazo decadencial rege-se pelo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art. 173, I, do CTN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e pela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Súmula 555/STJ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iniciando-se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+++INS $p.marco_inicial+++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primeiro dia do exercício seguinte àquele em que o lançamento poderia ter sido efetuado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+++END-IF+++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. Assim, o direito de a Fazenda Pública constituir o crédito extinguiu-se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+++INS $p.termo_final+++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Ocorre que o lançamento somente foi notificado ao contribuinte em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+++INS $p.data_notificacao_lancamento+++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, conforme +++INS $p.fonte_notificacao+++, ou seja,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quando já consumada a decadência.</w:t>
      </w:r>
    </w:p>
    <w:p>
      <w:r>
        <w:t>+++END-FOR p+++</w:t>
      </w:r>
    </w:p>
    <w:p>
      <w:r>
        <w:t>+++IF $cda.algum_150_confirmado+++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Registre-se que não consta do lançamento qualquer imputação de dolo, fraude ou simulação ao contribuinte que pudesse deslocar o marco inicial para a regra do art. 173, I, do CTN.</w:t>
      </w:r>
    </w:p>
    <w:p>
      <w:r>
        <w:t>+++END-IF+++</w:t>
      </w:r>
    </w:p>
    <w:p>
      <w:r>
        <w:t>+++IF $cda.algum_150_confirmar+++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[CONFIRMAR: Registre-se que não consta do lançamento qualquer imputação de dolo, fraude ou simulação ao contribuinte que pudesse deslocar o marco inicial para a regra do art. 173, I, do CTN.]</w:t>
      </w:r>
    </w:p>
    <w:p>
      <w:r>
        <w:t>+++END-IF+++</w:t>
      </w:r>
    </w:p>
    <w:p>
      <w:r>
        <w:t>+++END-FOR cda+++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+++INS fig_notificacao+++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Quicksand" w:cs="Quicksand" w:eastAsia="Quicksand" w:hAnsi="Quicksand"/>
          <w:b/>
          <w:bCs/>
          <w:i/>
          <w:iCs/>
          <w:smallCaps w:val="0"/>
          <w:strike w:val="0"/>
          <w:color w:val="000000"/>
          <w:sz w:val="16"/>
          <w:szCs w:val="16"/>
          <w:u w:val="none"/>
          <w:vertAlign w:val="baseline"/>
          <w:rtl w:val="0"/>
        </w:rPr>
        <w:t xml:space="preserve">+++INS fig_notificacao_legenda+++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Para fins de ilustração, a tabela abaixo sintetiza os marcos de cada período:</w:t>
      </w:r>
    </w:p>
    <w:tbl>
      <w:tblPr>
        <w:tblW w:w="9000" w:type="dxa"/>
        <w:jc w:val="left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Look w:val="0000"/>
      </w:tblPr>
      <w:tblGrid>
        <w:gridCol w:w="1000"/>
        <w:gridCol w:w="1250"/>
        <w:gridCol w:w="1350"/>
        <w:gridCol w:w="1250"/>
        <w:gridCol w:w="1250"/>
        <w:gridCol w:w="1500"/>
        <w:gridCol w:w="1400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Período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Fato gerador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Regra aplicável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Marco inicial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Termo final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Notificação do lançamento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+++FOR t IN periodos_tabela+++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+++INS $t.periodo+++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+++INS $t.data_fato_gerador+++</w:t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+++INS $t.regra_aplicavel+++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+++INS $t.marco_inicial+++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+++INS $t.termo_final+++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+++INS $t.data_notificacao_lancamento+++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b/>
                <w:bCs/>
                <w:sz w:val="17"/>
                <w:szCs w:val="17"/>
              </w:rPr>
              <w:t xml:space="preserve">+++INS $t.situacao+++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>+++END-FOR t+++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  <w:tc>
          <w:tcPr>
            <w:tcW w:w="13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17"/>
                <w:szCs w:val="17"/>
              </w:rPr>
              <w:t xml:space="preserve"/>
            </w:r>
          </w:p>
        </w:tc>
      </w:tr>
    </w:tbl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Para fins de ilustração, a linha do tempo abaixo demonstra o curso do crédito tributário discutido e a ocorrência da decadência:</w:t>
      </w:r>
    </w:p>
    <w:tbl>
      <w:tblPr>
        <w:tblW w:w="9000" w:type="dxa"/>
        <w:jc w:val="left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Look w:val="0000"/>
      </w:tblPr>
      <w:tblGrid>
        <w:gridCol w:w="1500"/>
        <w:gridCol w:w="4500"/>
        <w:gridCol w:w="3000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Data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Evento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5e7eb"/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  <w:jc w:val="center"/>
            </w:pPr>
            <w:r>
              <w:rPr>
                <w:rFonts w:ascii="Quicksand" w:hAnsi="Quicksand" w:cs="Quicksand"/>
                <w:b/>
                <w:bCs/>
                <w:sz w:val="21"/>
                <w:szCs w:val="21"/>
              </w:rPr>
              <w:t xml:space="preserve">Documento-fonte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+++FOR m IN linha_do_tempo+++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/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+++INS $m.data+++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+++INS $m.evento+++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+++INS $m.fonte+++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>+++END-FOR m+++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/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>
            <w:pPr>
              <w:spacing w:before="60" w:after="60" w:line="276" w:lineRule="auto"/>
            </w:pPr>
            <w:r>
              <w:rPr>
                <w:rFonts w:ascii="Quicksand" w:hAnsi="Quicksand" w:cs="Quicksand"/>
                <w:sz w:val="21"/>
                <w:szCs w:val="21"/>
              </w:rPr>
              <w:t xml:space="preserve"/>
            </w:r>
          </w:p>
        </w:tc>
      </w:tr>
    </w:tbl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Diante do exposto, sendo o lançamento posterior ao termo final do prazo decadencial, o crédito tributário inscrito encontra-se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extinto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(art. 156, V, do CTN), de modo que a manutenção da inscrição em dívida ativa — e de todos os seus efeitos, como protesto, inscrição em cadastros restritivos e óbice à emissão de certidão de regularidade fiscal — afronta o princípio da legalidade e impõe à Administração o dever de anular o próprio ato, nos termos da Súmula 473 do STF.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</w:p>
    <w:p w:rsidR="00000000" w:rsidDel="00000000" w:rsidP="00000000" w:rsidRDefault="00000000" w:rsidRPr="00000000" w14:paraId="00000079">
      <w:pPr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DOS PEDIDOS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Pelas razões expostas, requer: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a) o reconhecimento da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decadência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do direito de constituir o crédito tributário relativo ao(s) período(s) de apuração +++INS periodos_decaidos_lista+++, com a consequente extinção do crédito, nos termos do art. 156, V, do CTN;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b) 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+++IF decadencia_total+++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o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cancelamento integral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da inscrição em dívida ativa nº +++INS cdas_lista+++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+++END-IF+++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+++IF decadencia_parcial+++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a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retificação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da inscrição em dívida ativa nº +++INS cdas_lista+++, com a exclusão dos valores relativos aos períodos alcançados pela decadência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+++END-IF+++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;</w:t>
      </w:r>
    </w:p>
    <w:p>
      <w:r>
        <w:t>+++IF houve_protesto+++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+++INS letra_protesto+++) o cancelamento do protesto da CDA nº +++INS cdas_protestadas_lista+++, sem a cobrança de quaisquer emolumentos ao devedor;</w:t>
      </w:r>
    </w:p>
    <w:p>
      <w:r>
        <w:t>+++END-IF+++</w:t>
      </w:r>
    </w:p>
    <w:p>
      <w:r>
        <w:t>+++IF ente_uniao+++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+++INS letra_cadin+++) a baixa de eventuais registros no CADIN decorrentes da inscrição ora impugnada;</w:t>
      </w:r>
    </w:p>
    <w:p>
      <w:r>
        <w:t>+++END-IF+++</w:t>
      </w:r>
    </w:p>
    <w:p>
      <w:pPr>
        <w:jc w:val="both"/>
        <w:rPr>
          <w:rFonts w:ascii="Quicksand" w:cs="Quicksand" w:eastAsia="Quicksand" w:hAnsi="Quicksand"/>
          <w:sz w:val="21"/>
          <w:szCs w:val="21"/>
        </w:rPr>
      </w:pPr>
      <w:r>
        <w:rPr>
          <w:rFonts w:ascii="Quicksand" w:cs="Quicksand" w:eastAsia="Quicksand" w:hAnsi="Quicksand"/>
          <w:sz w:val="21"/>
          <w:szCs w:val="21"/>
          <w:rtl w:val="0"/>
        </w:rPr>
        <w:t xml:space="preserve">+++INS letra_certidao+++) a emissão de </w:t>
      </w:r>
      <w:r>
        <w:rPr>
          <w:rFonts w:ascii="Quicksand" w:cs="Quicksand" w:eastAsia="Quicksand" w:hAnsi="Quicksand"/>
          <w:b/>
          <w:bCs/>
          <w:sz w:val="21"/>
          <w:szCs w:val="21"/>
          <w:rtl w:val="0"/>
        </w:rPr>
        <w:t xml:space="preserve">Certidão Negativa de Débitos</w:t>
      </w:r>
      <w:r>
        <w:rPr>
          <w:rFonts w:ascii="Quicksand" w:cs="Quicksand" w:eastAsia="Quicksand" w:hAnsi="Quicksand"/>
          <w:sz w:val="21"/>
          <w:szCs w:val="21"/>
          <w:rtl w:val="0"/>
        </w:rPr>
        <w:t xml:space="preserve"> que ateste a regularidade fiscal do devedor perante o Fisco.</w:t>
      </w:r>
    </w:p>
    <w:p w:rsidR="00000000" w:rsidDel="00000000" w:rsidP="00000000" w:rsidRDefault="00000000" w:rsidRPr="00000000" w14:paraId="0000007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Termos em que pede deferimento.</w:t>
      </w:r>
    </w:p>
    <w:p w:rsidR="00000000" w:rsidDel="00000000" w:rsidP="00000000" w:rsidRDefault="00000000" w:rsidRPr="00000000" w14:paraId="0000007D">
      <w:pPr>
        <w:jc w:val="right"/>
        <w:rPr>
          <w:rFonts w:ascii="Quicksand" w:cs="Quicksand" w:eastAsia="Quicksand" w:hAnsi="Quicksand"/>
          <w:sz w:val="21"/>
          <w:szCs w:val="21"/>
        </w:rPr>
      </w:pPr>
      <w:bookmarkStart w:colFirst="0" w:colLast="0" w:name="_heading=h.6bp7s8dxv5ob" w:id="1"/>
      <w:bookmarkEnd w:id="1"/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+++INS fecho_local_data+++</w:t>
      </w:r>
    </w:p>
    <w:p w:rsidR="00000000" w:rsidDel="00000000" w:rsidP="00000000" w:rsidRDefault="00000000" w:rsidRPr="00000000" w14:paraId="0000007E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>
      <w:r>
        <w:t>+++FOR a IN advogados+++</w:t>
      </w:r>
    </w:p>
    <w:p w:rsidR="00000000" w:rsidDel="00000000" w:rsidP="00000000" w:rsidRDefault="00000000" w:rsidRPr="00000000" w14:paraId="00000082">
      <w:pPr>
        <w:tabs>
          <w:tab w:val="left" w:leader="none" w:pos="6384"/>
        </w:tabs>
        <w:spacing w:after="0" w:lineRule="auto"/>
        <w:ind w:left="720" w:firstLine="0"/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+++INS $a.nome+++ | +++INS $a.oab+++</w:t>
      </w:r>
    </w:p>
    <w:p>
      <w:r>
        <w:t>+++END-FOR a+++</w:t>
      </w:r>
    </w:p>
    <w:p w:rsidR="00000000" w:rsidDel="00000000" w:rsidP="00000000" w:rsidRDefault="00000000" w:rsidRPr="00000000" w14:paraId="00000081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16"/>
          <w:szCs w:val="16"/>
          <w:rtl w:val="0"/>
        </w:rPr>
        <w:t xml:space="preserve">Documento assinado digitalmente</w:t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first"/>
      <w:pgSz w:h="16838" w:w="11906" w:orient="portrait"/>
      <w:pgMar w:bottom="1418" w:top="1701" w:left="1701" w:right="1418" w:header="709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Symbol"/>
  <w:font w:name="Quicksan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701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-701283</wp:posOffset>
              </wp:positionV>
              <wp:extent cx="7558331" cy="930600"/>
              <wp:effectExtent b="0" l="0" r="0" t="0"/>
              <wp:wrapNone/>
              <wp:docPr id="206116549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1571597" y="3319463"/>
                        <a:ext cx="7548806" cy="921075"/>
                      </a:xfrm>
                      <a:prstGeom prst="rect">
                        <a:avLst/>
                      </a:prstGeom>
                      <a:solidFill>
                        <a:srgbClr val="7B7B7B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0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-701283</wp:posOffset>
              </wp:positionV>
              <wp:extent cx="7558331" cy="930600"/>
              <wp:effectExtent b="0" l="0" r="0" t="0"/>
              <wp:wrapNone/>
              <wp:docPr id="206116549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8331" cy="930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-610412</wp:posOffset>
              </wp:positionH>
              <wp:positionV relativeFrom="paragraph">
                <wp:posOffset>-486726</wp:posOffset>
              </wp:positionV>
              <wp:extent cx="2205420" cy="556830"/>
              <wp:effectExtent b="0" l="0" r="0" t="0"/>
              <wp:wrapNone/>
              <wp:docPr id="206116548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48053" y="3506348"/>
                        <a:ext cx="2195895" cy="547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+++INS escritorio_email+++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+++INS escritorio_site+++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-610412</wp:posOffset>
              </wp:positionH>
              <wp:positionV relativeFrom="paragraph">
                <wp:posOffset>-486726</wp:posOffset>
              </wp:positionV>
              <wp:extent cx="2205420" cy="556830"/>
              <wp:effectExtent b="0" l="0" r="0" t="0"/>
              <wp:wrapNone/>
              <wp:docPr id="206116548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5420" cy="556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3376149</wp:posOffset>
              </wp:positionH>
              <wp:positionV relativeFrom="paragraph">
                <wp:posOffset>-406081</wp:posOffset>
              </wp:positionV>
              <wp:extent cx="2205420" cy="556830"/>
              <wp:effectExtent b="0" l="0" r="0" t="0"/>
              <wp:wrapNone/>
              <wp:docPr id="2061165485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248053" y="3506348"/>
                        <a:ext cx="2195895" cy="547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+++INS escritorio_endereco+++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3376149</wp:posOffset>
              </wp:positionH>
              <wp:positionV relativeFrom="paragraph">
                <wp:posOffset>-406081</wp:posOffset>
              </wp:positionV>
              <wp:extent cx="2205420" cy="556830"/>
              <wp:effectExtent b="0" l="0" r="0" t="0"/>
              <wp:wrapNone/>
              <wp:docPr id="206116548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5420" cy="556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r>
      <w:t>+++IF tem_logo+++</w:t>
    </w:r>
  </w:p>
  <w:p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36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>
      <w:t>+++IMAGE logo()+++</w:t>
    </w:r>
  </w:p>
  <w:p>
    <w:r>
      <w:t>+++END-IF+++</w:t>
    </w:r>
  </w:p>
  <w:p/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r>
      <w:t>+++IF tem_logo+++</w:t>
    </w:r>
  </w:p>
  <w:p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36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>
      <w:t>+++IMAGE logo()+++</w:t>
    </w:r>
  </w:p>
  <w:p>
    <w:r>
      <w:t>+++END-IF+++</w:t>
    </w:r>
  </w:p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C73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CF660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F660C"/>
  </w:style>
  <w:style w:type="paragraph" w:styleId="Rodap">
    <w:name w:val="footer"/>
    <w:basedOn w:val="Normal"/>
    <w:link w:val="RodapChar"/>
    <w:uiPriority w:val="99"/>
    <w:unhideWhenUsed w:val="1"/>
    <w:rsid w:val="00CF660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F660C"/>
  </w:style>
  <w:style w:type="character" w:styleId="TextodoEspaoReservado">
    <w:name w:val="Placeholder Text"/>
    <w:basedOn w:val="Fontepargpadro"/>
    <w:uiPriority w:val="99"/>
    <w:semiHidden w:val="1"/>
    <w:rsid w:val="00987ECD"/>
    <w:rPr>
      <w:color w:val="808080"/>
    </w:rPr>
  </w:style>
  <w:style w:type="paragraph" w:styleId="PargrafodaLista">
    <w:name w:val="List Paragraph"/>
    <w:basedOn w:val="Normal"/>
    <w:uiPriority w:val="34"/>
    <w:qFormat w:val="1"/>
    <w:rsid w:val="00CB36D5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31629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31629C"/>
    <w:rPr>
      <w:color w:val="605e5c"/>
      <w:shd w:color="auto" w:fill="e1dfdd" w:val="clear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457AC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457AC6"/>
    <w:rPr>
      <w:rFonts w:ascii="Segoe UI" w:cs="Segoe UI" w:hAnsi="Segoe UI"/>
      <w:sz w:val="18"/>
      <w:szCs w:val="18"/>
    </w:rPr>
  </w:style>
  <w:style w:type="paragraph" w:styleId="Legenda">
    <w:name w:val="caption"/>
    <w:basedOn w:val="Normal"/>
    <w:next w:val="Normal"/>
    <w:uiPriority w:val="35"/>
    <w:unhideWhenUsed w:val="1"/>
    <w:qFormat w:val="1"/>
    <w:rsid w:val="00D32A2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4F7571"/>
    <w:pPr>
      <w:spacing w:after="0" w:line="240" w:lineRule="auto"/>
    </w:pPr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 w:val="1"/>
    <w:rsid w:val="004F75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4F7571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4F7571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4F757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4F7571"/>
    <w:rPr>
      <w:vertAlign w:val="superscript"/>
    </w:rPr>
  </w:style>
  <w:style w:type="table" w:styleId="Tabelacomgrade">
    <w:name w:val="Table Grid"/>
    <w:basedOn w:val="Tabelanormal"/>
    <w:uiPriority w:val="39"/>
    <w:rsid w:val="00AC171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image" Target="media/image2.emf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0.png"/><Relationship Id="rId17" Type="http://schemas.openxmlformats.org/officeDocument/2006/relationships/header" Target="header1.xml"/><Relationship Id="rId5" Type="http://schemas.openxmlformats.org/officeDocument/2006/relationships/fontTable" Target="fontTable.xml"/><Relationship Id="rId19" Type="http://schemas.openxmlformats.org/officeDocument/2006/relationships/footer" Target="footer1.xml"/><Relationship Id="rId6" Type="http://schemas.openxmlformats.org/officeDocument/2006/relationships/numbering" Target="numbering.xml"/><Relationship Id="rId18" Type="http://schemas.openxmlformats.org/officeDocument/2006/relationships/header" Target="header2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Quicksand-regular.ttf"/><Relationship Id="rId4" Type="http://schemas.openxmlformats.org/officeDocument/2006/relationships/font" Target="fonts/Quicksand-bold.ttf"/></Relationships>
</file>

<file path=word/_rels/footer1.xml.rels><?xml version="1.0" encoding="UTF-8" standalone="yes"?><Relationships xmlns="http://schemas.openxmlformats.org/package/2006/relationships"><Relationship Id="rId3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/>
</file>

<file path=word/_rels/header2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XNXVIiTvMX56EbcO1Zqs4qudYg==">CgMxLjAyDmgudW41ZjJhM2ZmcjNmMg5oLjZicDdzOGR4djVvYjgAciExRk9Ncy1ndG9tazZCd2lMTnlORjNYc2FLaDM4LTZiTFA=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2026-03-17T13:14:00Z</dcterms:created>
  <dc:creator>TributÁgil</dc:creator>
</cp:coreProperties>
</file>