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after="0" w:line="276" w:lineRule="auto"/>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03">
      <w:pPr>
        <w:jc w:val="both"/>
        <w:rPr>
          <w:rFonts w:ascii="Quattrocento Sans" w:cs="Quattrocento Sans" w:eastAsia="Quattrocento Sans" w:hAnsi="Quattrocento Sans"/>
          <w:b w:val="1"/>
          <w:bCs w:val="1"/>
        </w:rPr>
      </w:pPr>
      <w:bookmarkStart w:colFirst="0" w:colLast="0" w:name="_heading=h.gjdgxs" w:id="0"/>
      <w:bookmarkEnd w:id="0"/>
      <w:r w:rsidDel="00000000" w:rsidR="00000000" w:rsidRPr="00000000">
        <w:rPr>
          <w:rFonts w:ascii="Quattrocento Sans" w:cs="Quattrocento Sans" w:eastAsia="Quattrocento Sans" w:hAnsi="Quattrocento Sans"/>
          <w:b w:val="1"/>
          <w:bCs w:val="1"/>
          <w:rtl w:val="0"/>
        </w:rPr>
        <w:t xml:space="preserve">+++INS juizo+++</w:t>
      </w:r>
    </w:p>
    <w:p w:rsidR="00000000" w:rsidDel="00000000" w:rsidP="00000000" w:rsidRDefault="00000000" w:rsidRPr="00000000" w14:paraId="00000004">
      <w:pPr>
        <w:jc w:val="both"/>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05">
      <w:pPr>
        <w:jc w:val="both"/>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06">
      <w:pPr>
        <w:jc w:val="both"/>
        <w:rPr>
          <w:rFonts w:ascii="Quattrocento Sans" w:cs="Quattrocento Sans" w:eastAsia="Quattrocento Sans" w:hAnsi="Quattrocento Sans"/>
          <w:b w:val="1"/>
          <w:bCs w:val="1"/>
          <w:i w:val="1"/>
          <w:iCs w:val="1"/>
          <w:highlight w:val="yellow"/>
        </w:rPr>
      </w:pPr>
      <w:r w:rsidDel="00000000" w:rsidR="00000000" w:rsidRPr="00000000">
        <w:rPr>
          <w:rFonts w:ascii="Quattrocento Sans" w:cs="Quattrocento Sans" w:eastAsia="Quattrocento Sans" w:hAnsi="Quattrocento Sans"/>
          <w:b w:val="1"/>
          <w:bCs w:val="1"/>
          <w:i w:val="1"/>
          <w:iCs w:val="1"/>
          <w:rtl w:val="0"/>
        </w:rPr>
        <w:t xml:space="preserve">Processo n.º +++INS processo_numero+++</w:t>
      </w:r>
      <w:r w:rsidDel="00000000" w:rsidR="00000000" w:rsidRPr="00000000">
        <w:rPr>
          <w:rtl w:val="0"/>
        </w:rPr>
      </w:r>
    </w:p>
    <w:p w:rsidR="00000000" w:rsidDel="00000000" w:rsidP="00000000" w:rsidRDefault="00000000" w:rsidRPr="00000000" w14:paraId="00000007">
      <w:pPr>
        <w:jc w:val="both"/>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08">
      <w:pPr>
        <w:spacing w:after="0"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+++INS executado_nome+++, </w:t>
      </w:r>
      <w:r w:rsidDel="00000000" w:rsidR="00000000" w:rsidRPr="00000000">
        <w:rPr>
          <w:rFonts w:ascii="Quattrocento Sans" w:cs="Quattrocento Sans" w:eastAsia="Quattrocento Sans" w:hAnsi="Quattrocento Sans"/>
          <w:rtl w:val="0"/>
        </w:rPr>
        <w:t xml:space="preserve">já devidamente qualificada nos presentes autos, por intermédio de sua advogada que esta subscreve, constituída mediante instrumento de mandato anexo, vem, respeitosamente a Vossa Excelência, opor a presente </w:t>
      </w:r>
    </w:p>
    <w:p w:rsidR="00000000" w:rsidDel="00000000" w:rsidP="00000000" w:rsidRDefault="00000000" w:rsidRPr="00000000" w14:paraId="00000009">
      <w:pPr>
        <w:jc w:val="both"/>
        <w:rPr>
          <w:rFonts w:ascii="Quattrocento Sans" w:cs="Quattrocento Sans" w:eastAsia="Quattrocento Sans" w:hAnsi="Quattrocento Sans"/>
          <w:b w:val="1"/>
          <w:bCs w:val="1"/>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-5153</wp:posOffset>
                </wp:positionH>
                <wp:positionV relativeFrom="paragraph">
                  <wp:posOffset>186161</wp:posOffset>
                </wp:positionV>
                <wp:extent cx="5643636" cy="394335"/>
                <wp:effectExtent b="0" l="0" r="0" t="0"/>
                <wp:wrapNone/>
                <wp:docPr id="2061165517" name=""/>
                <a:graphic>
                  <a:graphicData uri="http://schemas.microsoft.com/office/word/2010/wordprocessingShape">
                    <wps:wsp>
                      <wps:cNvSpPr/>
                      <wps:cNvPr id="27" name="Shape 27"/>
                      <wps:spPr>
                        <a:xfrm>
                          <a:off x="2528945" y="3587595"/>
                          <a:ext cx="5634111" cy="384810"/>
                        </a:xfrm>
                        <a:prstGeom prst="roundRect">
                          <a:avLst>
                            <a:gd fmla="val 16667" name="adj"/>
                          </a:avLst>
                        </a:prstGeom>
                        <a:solidFill>
                          <a:srgbClr val="7B7B7B"/>
                        </a:solidFill>
                        <a:ln>
                          <a:noFill/>
                        </a:ln>
                      </wps:spPr>
                      <wps:txbx>
                        <w:txbxContent>
                          <w:p w:rsidR="00000000" w:rsidDel="00000000" w:rsidP="00000000" w:rsidRDefault="00000000" w:rsidRPr="00000000">
                            <w:pPr>
                              <w:spacing w:after="160" w:before="0" w:line="300"/>
                              <w:ind w:left="0" w:right="0" w:firstLine="0"/>
                              <w:jc w:val="left"/>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-5153</wp:posOffset>
                </wp:positionH>
                <wp:positionV relativeFrom="paragraph">
                  <wp:posOffset>186161</wp:posOffset>
                </wp:positionV>
                <wp:extent cx="5643636" cy="394335"/>
                <wp:effectExtent b="0" l="0" r="0" t="0"/>
                <wp:wrapNone/>
                <wp:docPr id="2061165517" name="image15.png"/>
                <a:graphic>
                  <a:graphicData uri="http://schemas.openxmlformats.org/drawingml/2006/picture">
                    <pic:pic>
                      <pic:nvPicPr>
                        <pic:cNvPr id="0" name="image15.png"/>
                        <pic:cNvPicPr preferRelativeResize="0"/>
                      </pic:nvPicPr>
                      <pic:blipFill>
                        <a:blip r:embed="rId9"/>
                        <a:srcRect/>
                        <a:stretch>
                          <a:fillRect/>
                        </a:stretch>
                      </pic:blipFill>
                      <pic:spPr>
                        <a:xfrm>
                          <a:off x="0" y="0"/>
                          <a:ext cx="5643636" cy="394335"/>
                        </a:xfrm>
                        <a:prstGeom prst="rect"/>
                        <a:ln/>
                      </pic:spPr>
                    </pic:pic>
                  </a:graphicData>
                </a:graphic>
              </wp:anchor>
            </w:drawing>
          </mc:Fallback>
        </mc:AlternateContent>
      </w:r>
    </w:p>
    <w:p w:rsidR="00000000" w:rsidDel="00000000" w:rsidP="00000000" w:rsidRDefault="00000000" w:rsidRPr="00000000" w14:paraId="0000000A">
      <w:pPr>
        <w:jc w:val="center"/>
        <w:rPr>
          <w:rFonts w:ascii="Quattrocento Sans" w:cs="Quattrocento Sans" w:eastAsia="Quattrocento Sans" w:hAnsi="Quattrocento Sans"/>
          <w:b w:val="1"/>
          <w:bCs w:val="1"/>
          <w:color w:val="ffffff"/>
        </w:rPr>
      </w:pPr>
      <w:r w:rsidDel="00000000" w:rsidR="00000000" w:rsidRPr="00000000">
        <w:rPr>
          <w:rFonts w:ascii="Quattrocento Sans" w:cs="Quattrocento Sans" w:eastAsia="Quattrocento Sans" w:hAnsi="Quattrocento Sans"/>
          <w:b w:val="1"/>
          <w:bCs w:val="1"/>
          <w:color w:val="ffffff"/>
          <w:rtl w:val="0"/>
        </w:rPr>
        <w:t xml:space="preserve">EXCEÇÃO DE PRÉ-EXECUTIVIDADE</w:t>
      </w:r>
    </w:p>
    <w:p w:rsidR="00000000" w:rsidDel="00000000" w:rsidP="00000000" w:rsidRDefault="00000000" w:rsidRPr="00000000" w14:paraId="0000000B">
      <w:pPr>
        <w:spacing w:before="240"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em razão dos fatos e fundamentos que doravante serão expostos. </w:t>
      </w:r>
    </w:p>
    <w:p w:rsidR="00000000" w:rsidDel="00000000" w:rsidP="00000000" w:rsidRDefault="00000000" w:rsidRPr="00000000" w14:paraId="0000000C">
      <w:pPr>
        <w:jc w:val="both"/>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0D">
      <w:pPr>
        <w:spacing w:after="0" w:line="240" w:lineRule="auto"/>
        <w:jc w:val="both"/>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PRELIMINARMENTE</w:t>
      </w:r>
    </w:p>
    <w:p w:rsidR="00000000" w:rsidDel="00000000" w:rsidP="00000000" w:rsidRDefault="00000000" w:rsidRPr="00000000" w14:paraId="0000000E">
      <w:pPr>
        <w:spacing w:after="0" w:line="240" w:lineRule="auto"/>
        <w:jc w:val="both"/>
        <w:rPr>
          <w:rFonts w:ascii="Quattrocento Sans" w:cs="Quattrocento Sans" w:eastAsia="Quattrocento Sans" w:hAnsi="Quattrocento Sans"/>
          <w:i w:val="1"/>
          <w:iCs w:val="1"/>
        </w:rPr>
      </w:pPr>
      <w:r w:rsidDel="00000000" w:rsidR="00000000" w:rsidRPr="00000000">
        <w:rPr>
          <w:rFonts w:ascii="Quattrocento Sans" w:cs="Quattrocento Sans" w:eastAsia="Quattrocento Sans" w:hAnsi="Quattrocento Sans"/>
          <w:i w:val="1"/>
          <w:iCs w:val="1"/>
          <w:rtl w:val="0"/>
        </w:rPr>
        <w:t xml:space="preserve">Quadro sinóptico</w:t>
      </w:r>
    </w:p>
    <w:p w:rsidR="00000000" w:rsidDel="00000000" w:rsidP="00000000" w:rsidRDefault="00000000" w:rsidRPr="00000000" w14:paraId="0000000F">
      <w:pPr>
        <w:jc w:val="both"/>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300" w:lineRule="auto"/>
        <w:ind w:left="0" w:right="0" w:firstLine="0"/>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Com o escopo de conferir celeridade à cognição judicial e evidenciar a patente causa extintiva do crédito tributário exequendo, sintetizam-se as teses basilares que fundamentam este pleito no quadro sinóptico a seguir:</w:t>
      </w:r>
    </w:p>
    <w:tbl>
      <w:tblPr>
        <w:tblStyle w:val="Table1"/>
        <w:tblW w:w="9450.0" w:type="dxa"/>
        <w:jc w:val="left"/>
        <w:tblBorders>
          <w:top w:color="d1d5db" w:space="0" w:sz="1" w:val="single"/>
          <w:left w:color="d1d5db" w:space="0" w:sz="1" w:val="single"/>
          <w:bottom w:color="d1d5db" w:space="0" w:sz="1" w:val="single"/>
          <w:right w:color="d1d5db" w:space="0" w:sz="1" w:val="single"/>
          <w:insideH w:color="d1d5db" w:space="0" w:sz="1" w:val="single"/>
          <w:insideV w:color="d1d5db" w:space="0" w:sz="1" w:val="single"/>
        </w:tblBorders>
        <w:tblLayout w:type="fixed"/>
        <w:tblLook w:val="0000"/>
      </w:tblPr>
      <w:tblGrid>
        <w:gridCol w:w="4260"/>
        <w:gridCol w:w="5190"/>
        <w:tblGridChange w:id="0">
          <w:tblGrid>
            <w:gridCol w:w="4260"/>
            <w:gridCol w:w="519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5e7eb" w:val="clear"/>
            <w:tcMar>
              <w:top w:w="115.0" w:type="dxa"/>
              <w:left w:w="144.0" w:type="dxa"/>
              <w:bottom w:w="115.0" w:type="dxa"/>
              <w:right w:w="144.0" w:type="dxa"/>
            </w:tcMar>
          </w:tcPr>
          <w:p w:rsidR="00000000" w:rsidDel="00000000" w:rsidP="00000000" w:rsidRDefault="00000000" w:rsidRPr="00000000" w14:paraId="00000011">
            <w:pPr>
              <w:spacing w:after="80" w:before="80" w:line="276" w:lineRule="auto"/>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Tese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5e7eb" w:val="clear"/>
            <w:tcMar>
              <w:top w:w="115.0" w:type="dxa"/>
              <w:left w:w="144.0" w:type="dxa"/>
              <w:bottom w:w="115.0" w:type="dxa"/>
              <w:right w:w="144.0" w:type="dxa"/>
            </w:tcMar>
          </w:tcPr>
          <w:p w:rsidR="00000000" w:rsidDel="00000000" w:rsidP="00000000" w:rsidRDefault="00000000" w:rsidRPr="00000000" w14:paraId="00000012">
            <w:pPr>
              <w:spacing w:after="80" w:before="80" w:line="276" w:lineRule="auto"/>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Fundamento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115.0" w:type="dxa"/>
              <w:left w:w="144.0" w:type="dxa"/>
              <w:bottom w:w="115.0" w:type="dxa"/>
              <w:right w:w="144.0" w:type="dxa"/>
            </w:tcMar>
          </w:tcPr>
          <w:p w:rsidR="00000000" w:rsidDel="00000000" w:rsidP="00000000" w:rsidRDefault="00000000" w:rsidRPr="00000000" w14:paraId="00000013">
            <w:pPr>
              <w:spacing w:after="60" w:before="60" w:line="276"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Decadência do direito de constituir o crédito tributário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15.0" w:type="dxa"/>
              <w:left w:w="144.0" w:type="dxa"/>
              <w:bottom w:w="115.0" w:type="dxa"/>
              <w:right w:w="144.0" w:type="dxa"/>
            </w:tcMar>
          </w:tcPr>
          <w:p w:rsidR="00000000" w:rsidDel="00000000" w:rsidP="00000000" w:rsidRDefault="00000000" w:rsidRPr="00000000" w14:paraId="00000014">
            <w:pPr>
              <w:spacing w:after="60" w:before="60" w:line="276"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Art. 150, § 4º</w:t>
            </w:r>
            <w:r w:rsidDel="00000000" w:rsidR="00000000" w:rsidRPr="00000000">
              <w:rPr>
                <w:rFonts w:ascii="Quattrocento Sans" w:cs="Quattrocento Sans" w:eastAsia="Quattrocento Sans" w:hAnsi="Quattrocento Sans"/>
                <w:rtl w:val="0"/>
              </w:rPr>
              <w:t xml:space="preserve"> e </w:t>
            </w:r>
            <w:r w:rsidDel="00000000" w:rsidR="00000000" w:rsidRPr="00000000">
              <w:rPr>
                <w:rFonts w:ascii="Quattrocento Sans" w:cs="Quattrocento Sans" w:eastAsia="Quattrocento Sans" w:hAnsi="Quattrocento Sans"/>
                <w:b w:val="1"/>
                <w:bCs w:val="1"/>
                <w:rtl w:val="0"/>
              </w:rPr>
              <w:t xml:space="preserve">art. 173, I, do CTN</w:t>
            </w:r>
            <w:r w:rsidDel="00000000" w:rsidR="00000000" w:rsidRPr="00000000">
              <w:rPr>
                <w:rFonts w:ascii="Quattrocento Sans" w:cs="Quattrocento Sans" w:eastAsia="Quattrocento Sans" w:hAnsi="Quattrocento Sans"/>
                <w:rtl w:val="0"/>
              </w:rPr>
              <w:t xml:space="preserve">; </w:t>
            </w:r>
            <w:r w:rsidDel="00000000" w:rsidR="00000000" w:rsidRPr="00000000">
              <w:rPr>
                <w:rFonts w:ascii="Quattrocento Sans" w:cs="Quattrocento Sans" w:eastAsia="Quattrocento Sans" w:hAnsi="Quattrocento Sans"/>
                <w:b w:val="1"/>
                <w:bCs w:val="1"/>
                <w:rtl w:val="0"/>
              </w:rPr>
              <w:t xml:space="preserve">art. 156, V, do CTN</w:t>
            </w:r>
            <w:r w:rsidDel="00000000" w:rsidR="00000000" w:rsidRPr="00000000">
              <w:rPr>
                <w:rFonts w:ascii="Quattrocento Sans" w:cs="Quattrocento Sans" w:eastAsia="Quattrocento Sans" w:hAnsi="Quattrocento Sans"/>
                <w:rtl w:val="0"/>
              </w:rPr>
              <w:t xml:space="preserve">; </w:t>
            </w:r>
            <w:r w:rsidDel="00000000" w:rsidR="00000000" w:rsidRPr="00000000">
              <w:rPr>
                <w:rFonts w:ascii="Quattrocento Sans" w:cs="Quattrocento Sans" w:eastAsia="Quattrocento Sans" w:hAnsi="Quattrocento Sans"/>
                <w:b w:val="1"/>
                <w:bCs w:val="1"/>
                <w:rtl w:val="0"/>
              </w:rPr>
              <w:t xml:space="preserve">Súmula 555/STJ</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115.0" w:type="dxa"/>
              <w:left w:w="144.0" w:type="dxa"/>
              <w:bottom w:w="115.0" w:type="dxa"/>
              <w:right w:w="144.0" w:type="dxa"/>
            </w:tcMar>
          </w:tcPr>
          <w:p w:rsidR="00000000" w:rsidDel="00000000" w:rsidP="00000000" w:rsidRDefault="00000000" w:rsidRPr="00000000" w14:paraId="00000015">
            <w:pPr>
              <w:spacing w:after="60" w:before="60" w:line="276"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Lançamento efetuado após o transcurso do prazo decadencial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15.0" w:type="dxa"/>
              <w:left w:w="144.0" w:type="dxa"/>
              <w:bottom w:w="115.0" w:type="dxa"/>
              <w:right w:w="144.0" w:type="dxa"/>
            </w:tcMar>
          </w:tcPr>
          <w:p w:rsidR="00000000" w:rsidDel="00000000" w:rsidP="00000000" w:rsidRDefault="00000000" w:rsidRPr="00000000" w14:paraId="00000016">
            <w:pPr>
              <w:spacing w:after="60" w:before="60" w:line="276"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Nulidade material insanável do Auto de Infração e da Certidão de Dívida Ativa (CDA)</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115.0" w:type="dxa"/>
              <w:left w:w="144.0" w:type="dxa"/>
              <w:bottom w:w="115.0" w:type="dxa"/>
              <w:right w:w="144.0" w:type="dxa"/>
            </w:tcMar>
          </w:tcPr>
          <w:p w:rsidR="00000000" w:rsidDel="00000000" w:rsidP="00000000" w:rsidRDefault="00000000" w:rsidRPr="00000000" w14:paraId="00000017">
            <w:pPr>
              <w:spacing w:after="60" w:before="60" w:line="276"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Matéria de ordem pública, cognoscível de ofício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15.0" w:type="dxa"/>
              <w:left w:w="144.0" w:type="dxa"/>
              <w:bottom w:w="115.0" w:type="dxa"/>
              <w:right w:w="144.0" w:type="dxa"/>
            </w:tcMar>
          </w:tcPr>
          <w:p w:rsidR="00000000" w:rsidDel="00000000" w:rsidP="00000000" w:rsidRDefault="00000000" w:rsidRPr="00000000" w14:paraId="00000018">
            <w:pPr>
              <w:spacing w:after="60" w:before="60" w:line="276"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Art. 803, parágrafo único, do CPC</w:t>
            </w:r>
            <w:r w:rsidDel="00000000" w:rsidR="00000000" w:rsidRPr="00000000">
              <w:rPr>
                <w:rFonts w:ascii="Quattrocento Sans" w:cs="Quattrocento Sans" w:eastAsia="Quattrocento Sans" w:hAnsi="Quattrocento Sans"/>
                <w:rtl w:val="0"/>
              </w:rPr>
              <w:t xml:space="preserve">; </w:t>
            </w:r>
            <w:r w:rsidDel="00000000" w:rsidR="00000000" w:rsidRPr="00000000">
              <w:rPr>
                <w:rFonts w:ascii="Quattrocento Sans" w:cs="Quattrocento Sans" w:eastAsia="Quattrocento Sans" w:hAnsi="Quattrocento Sans"/>
                <w:b w:val="1"/>
                <w:bCs w:val="1"/>
                <w:rtl w:val="0"/>
              </w:rPr>
              <w:t xml:space="preserve">Súmula 393/STJ</w:t>
            </w:r>
            <w:r w:rsidDel="00000000" w:rsidR="00000000" w:rsidRPr="00000000">
              <w:rPr>
                <w:rtl w:val="0"/>
              </w:rPr>
            </w:r>
          </w:p>
        </w:tc>
      </w:tr>
    </w:tbl>
    <w:p w:rsidR="00000000" w:rsidDel="00000000" w:rsidP="00000000" w:rsidRDefault="00000000" w:rsidRPr="00000000" w14:paraId="00000019">
      <w:pPr>
        <w:pStyle w:val="Heading3"/>
        <w:keepNext w:val="0"/>
        <w:keepLines w:val="0"/>
        <w:spacing w:after="120" w:before="240" w:line="276" w:lineRule="auto"/>
        <w:rPr>
          <w:rFonts w:ascii="Quattrocento Sans" w:cs="Quattrocento Sans" w:eastAsia="Quattrocento Sans" w:hAnsi="Quattrocento Sans"/>
          <w:color w:val="c47678"/>
          <w:sz w:val="22"/>
          <w:szCs w:val="22"/>
        </w:rPr>
      </w:pPr>
      <w:bookmarkStart w:colFirst="0" w:colLast="0" w:name="_heading=h.es69hcpjbwra" w:id="1"/>
      <w:bookmarkEnd w:id="1"/>
      <w:r w:rsidDel="00000000" w:rsidR="00000000" w:rsidRPr="00000000">
        <w:rPr>
          <w:rtl w:val="0"/>
        </w:rPr>
      </w:r>
    </w:p>
    <w:p w:rsidR="00000000" w:rsidDel="00000000" w:rsidP="00000000" w:rsidRDefault="00000000" w:rsidRPr="00000000" w14:paraId="0000001A">
      <w:pPr>
        <w:jc w:val="both"/>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1B">
      <w:pPr>
        <w:jc w:val="both"/>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DOS FATOS </w:t>
        <w:tab/>
      </w:r>
    </w:p>
    <w:p w:rsidR="00000000" w:rsidDel="00000000" w:rsidP="00000000" w:rsidRDefault="00000000" w:rsidRPr="00000000" w14:paraId="0000001C">
      <w:pPr>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Trata-se de débito tributário constituído em desfavor de </w:t>
      </w:r>
      <w:r w:rsidDel="00000000" w:rsidR="00000000" w:rsidRPr="00000000">
        <w:rPr>
          <w:rFonts w:ascii="Quattrocento Sans" w:cs="Quattrocento Sans" w:eastAsia="Quattrocento Sans" w:hAnsi="Quattrocento Sans"/>
          <w:b w:val="1"/>
          <w:bCs w:val="1"/>
          <w:rtl w:val="0"/>
        </w:rPr>
        <w:t xml:space="preserve">+++INS executado_nome+++, </w:t>
      </w:r>
      <w:r w:rsidDel="00000000" w:rsidR="00000000" w:rsidRPr="00000000">
        <w:rPr>
          <w:rFonts w:ascii="Quattrocento Sans" w:cs="Quattrocento Sans" w:eastAsia="Quattrocento Sans" w:hAnsi="Quattrocento Sans"/>
          <w:rtl w:val="0"/>
        </w:rPr>
        <w:t xml:space="preserve">materializado na Certidão de Dívida Ativa </w:t>
      </w:r>
      <w:r w:rsidDel="00000000" w:rsidR="00000000" w:rsidRPr="00000000">
        <w:rPr>
          <w:rFonts w:ascii="Quattrocento Sans" w:cs="Quattrocento Sans" w:eastAsia="Quattrocento Sans" w:hAnsi="Quattrocento Sans"/>
          <w:b w:val="1"/>
          <w:bCs w:val="1"/>
          <w:rtl w:val="0"/>
        </w:rPr>
        <w:t xml:space="preserve">(CDA) nº +++INS cdas_lista+++, </w:t>
      </w:r>
      <w:r w:rsidDel="00000000" w:rsidR="00000000" w:rsidRPr="00000000">
        <w:rPr>
          <w:rFonts w:ascii="Quattrocento Sans" w:cs="Quattrocento Sans" w:eastAsia="Quattrocento Sans" w:hAnsi="Quattrocento Sans"/>
          <w:rtl w:val="0"/>
        </w:rPr>
        <w:t xml:space="preserve">originário de +++INS origem_lancamento+++ relativo a +++INS tributo+++, período(s) de apuração +++INS periodos_apuracao+++.</w:t>
      </w:r>
    </w:p>
    <w:p w:rsidR="00000000" w:rsidDel="00000000" w:rsidP="00000000" w:rsidRDefault="00000000" w:rsidRPr="00000000" w14:paraId="0000001D">
      <w:pPr>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Em que pese a natureza e os fundamentos jurídicos que justificaram a cobrança do aludido valor, observa-se que o crédito objeto desta execução fiscal restou fulminado pela </w:t>
      </w:r>
      <w:r w:rsidDel="00000000" w:rsidR="00000000" w:rsidRPr="00000000">
        <w:rPr>
          <w:rFonts w:ascii="Quattrocento Sans" w:cs="Quattrocento Sans" w:eastAsia="Quattrocento Sans" w:hAnsi="Quattrocento Sans"/>
          <w:b w:val="1"/>
          <w:bCs w:val="1"/>
          <w:rtl w:val="0"/>
        </w:rPr>
        <w:t xml:space="preserve">DECADÊNCIA — perda do direito do Fisco de constituir o crédito tributário pelo lançamento </w:t>
      </w:r>
      <w:r w:rsidDel="00000000" w:rsidR="00000000" w:rsidRPr="00000000">
        <w:rPr>
          <w:rFonts w:ascii="Quattrocento Sans" w:cs="Quattrocento Sans" w:eastAsia="Quattrocento Sans" w:hAnsi="Quattrocento Sans"/>
          <w:rtl w:val="0"/>
        </w:rPr>
        <w:t xml:space="preserve">—, ou seja, mesmo tendo conhecimento sobre este fato inconteste, a União (Fazenda Nacional) promoveu a cobrança judicial de crédito constituído fora do prazo legal, incorrendo em nulidade, pelo que se impõe a imediata extinção das aludidas cifras, nos termos do art. 156, V, c/c arts. 150, § 4º e 173, I, todos do CTN.</w:t>
      </w:r>
    </w:p>
    <w:p w:rsidR="00000000" w:rsidDel="00000000" w:rsidP="00000000" w:rsidRDefault="00000000" w:rsidRPr="00000000" w14:paraId="0000001E">
      <w:pPr>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É o que se passa a demonstrar.</w:t>
      </w:r>
    </w:p>
    <w:p w:rsidR="00000000" w:rsidDel="00000000" w:rsidP="00000000" w:rsidRDefault="00000000" w:rsidRPr="00000000" w14:paraId="0000001F">
      <w:pPr>
        <w:jc w:val="both"/>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20">
      <w:pPr>
        <w:spacing w:after="0" w:line="240" w:lineRule="auto"/>
        <w:jc w:val="both"/>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DO CABIMENTO DA PRESENTE EXCEÇÃO DE PRÉ-EXECUTIVIDADE</w:t>
      </w:r>
      <w:r w:rsidDel="00000000" w:rsidR="00000000" w:rsidRPr="00000000">
        <w:pict>
          <v:shape id="Tinta 2" style="position:absolute;left:0;text-align:left;margin-left:379.9pt;margin-top:53.5pt;width:0;height:0;z-index:251664896;visibility:visible;mso-wrap-style:square;mso-width-percent:0;mso-height-percent:0;mso-wrap-distance-left:3.42497mm;mso-wrap-distance-top:.24997mm;mso-wrap-distance-right:3.42497mm;mso-wrap-distance-bottom:.24997mm;mso-position-horizontal:absolute;mso-position-horizontal-relative:margin;mso-position-vertical:absolute;mso-position-vertical-relative:text;mso-width-percent:0;mso-height-percent:0;mso-width-relative:page;mso-height-relative:page" o:spid="_x0000_s1027" type="#_x0000_t75" o:gfxdata="UEsDBBQABgAIAAAAIQCbMyc3DAEAAC0CAAATAAAAW0NvbnRlbnRfVHlwZXNdLnhtbISRsU7DMBRF &#10;dyT+wfKKEqcdEEJJOpAyAkLlAyz7JbHqPFt+JrR/j5O2C1AyeLD97rlHdrk5DJaNEMg4rPgqLzgD &#10;VE4b7Cr+sXvOHjijKFFL6xAqfgTim/r2ptwdPRBLaaSK9zH6RyFI9TBIyp0HTDetC4OMaRs64aXa &#10;yw7EuijuhXIYAWMWJwavywZa+Wkj2x7S8ckkgCXOnk6DU1fFpffWKBmTqRhR/2jJzg15Ss4z1BtP &#10;d0mDiz8bppvrBefca3qaYDSwNxniixyShtCBBKxd41T+P2OSHChzbWsU5E2g7Zy6OF1jG9yLtFYL &#10;9DQy2CWWdl8YYFxA/RJtUuwdxgtdzJ9dfwMAAP//AwBQSwMEFAAGAAgAAAAhADj9If/WAAAAlAEA &#10;AAsAAABfcmVscy8ucmVsc6SQwWrDMAyG74O9g9F9cZrDGKNOL6PQa+kewNiKYxpbRjLZ+vYzg8Ey &#10;ettRv9D3iX9/+EyLWpElUjaw63pQmB35mIOB98vx6QWUVJu9XSijgRsKHMbHh/0ZF1vbkcyxiGqU &#10;LAbmWsur1uJmTFY6KpjbZiJOtraRgy7WXW1APfT9s+bfDBg3THXyBvjkB1CXW2nmP+wUHZPQVDtH &#10;SdM0RXePqj195DOujWI5YDXgWb5DxrVrz4G+79390xvYljm6I9uEb+S2fhyoZT96vely/AIAAP// &#10;AwBQSwMEFAAGAAgAAAAhABuhpCWHAQAAbwMAAA4AAABkcnMvZTJvRG9jLnhtbJxTXWvCMBR9H+w/ &#10;hLzPWpExiq0MZSDsw4ftB8Q0scEmN9ykVv/90taq042BL4F7Lz33nHtOJ9OdLslWoFNgUhoPhpQI &#10;wyFXZp3Sr8+XhydKnGcmZyUYkdK9cHSa3d9NapuIERRQ5gJJADEuqW1KC+9tEkWOF0IzNwArTBhK &#10;QM18KHEd5cjqgK7LaDQcPkY1YG4RuHAudOfdkGYtvpSC+w8pnfCkTGng5tsX23fVvFE2YckamS0U &#10;P9BgN7DQTJmw9Ag1Z56RCtUVlFYcwYH0Aw46AikVF62GoCYeXqhZmE2jJB7zChMOxgvjlwx9f692 &#10;cMsKXVKyqt8gD46wygM9IIbD/G9AR3oOvNKBT+cCipL5EAFXKOsowUTlKcVFHp/4m+3spGCJJ13v &#10;lwMWjxNuX4FvXG9JPL5i9uslD+HojtmaQgzMCmbW4tnZkIaQ0cbzqD/q1fJ+8hfdnUTdGB2uQHZt &#10;jvbHHImdJ7xr8r7b43Xf9dWZmYHMj9ic1w3Rs/8k+wYAAP//AwBQSwMEFAAGAAgAAAAhAJ5kEIMQ &#10;AgAAEgUAABAAAABkcnMvaW5rL2luazEueG1stFNRb5swEH6ftP9geQ97CWAbCAGV9GmRJm3S1HbS &#10;+kjBDVbBRMaE5N/vsImTqqn6sgmJs8933919/nxze2gbtOeqF53MMfUJRlyWXSXkNse/HzbeCqNe &#10;F7Iqmk7yHB95j2/Xnz/dCPnSNhn8ESDIflq1TY5rrXdZEIzj6I+h36ltwAgJg+/y5ecPvJ6zKv4s &#10;pNBQsj+5yk5qftATWCaqHJf6QFw8YN93gyq5O548qjxHaFWUfNOpttAOsS6k5A2SRQt9/8FIH3ew &#10;EFBnyxVGrYCBPebTKIlW31JwFIccX+wHaLGHTlocXMd8/A+Ym7eYU1shS5YJRnNLFd9PPQWG8+z9 &#10;2X+pbseVFvxMsyVlPjii0u4NP5YoxfuuGaa7wWhfNANQRgkBWcy1aXCFkLd4wM0/xQNe3sW7bO41 &#10;NfN4lzzMpDlJna5Wi5aD0Nud05juAXhy32tlngMjLPII82j6QNMsWmYs9hOWXlzFrOIT5pMa+trh &#10;PamzXs2JY81ONopK14504pMoTZnj/ZL1a9k1F9taf5A+D2/ynX6uvEYjKTRPc8efc/zFPEhkMq3D &#10;jEMRRQmjy8VXAh9NY7LABD5vydiCIOKtlrGxcRgZGxHrD0M67dHK/EHexrIkNJYSE42i1B7bHbMp &#10;FsDCzUWmKI8SA+ZF1No4saXD2IB6jBIbF7Pw1dtxTIAo1n8BAAD//wMAUEsDBBQABgAIAAAAIQAA &#10;IefD3gAAABABAAAPAAAAZHJzL2Rvd25yZXYueG1sTE9NS8NAEL0L/odlBG92N4JW02xKsfTiQWgb &#10;8brJjpvQ7GzIbtv03zuioJeBeW/mfRTLyffihGPsAmnIZgoEUhNsR05Dtd/cPYGIyZA1fSDUcMEI &#10;y/L6qjC5DWfa4mmXnGARirnR0KY05FLGpkVv4iwMSMx9htGbxOvopB3NmcV9L++VepTedMQOrRnw &#10;pcXmsDt6DR+H7NW7N7xUW1X5983aZXVYaX17M60XPFYLEAmn9PcB3x04P5QcrA5HslH0GuYPz5w/ &#10;MaHm3IwvfpD6F5FlIf8XKb8AAAD//wMAUEsDBBQABgAIAAAAIQB5GLydvwAAACEBAAAZAAAAZHJz &#10;L19yZWxzL2Uyb0RvYy54bWwucmVsc4TPsWrEMAwG4L3QdzDaGyUdylHiZDkOspYUbjWOkpjEsrGc &#10;0nv7euzBwQ0ahND3S23/63f1Q0lcYA1NVYMitmFyvGj4Hi9vJ1CSDU9mD0wabiTQd68v7RftJpcl &#10;WV0UVRQWDWvO8RNR7EreSBUicZnMIXmTS5sWjMZuZiF8r+sPTP8N6O5MNUwa0jA1oMZbLMnP7TDP &#10;ztI52MMT5wcRaA/JwV/9XlCTFsoaHG9YqqnKoYBdi3ePdX8AAAD//wMAUEsBAi0AFAAGAAgAAAAh &#10;AJszJzcMAQAALQIAABMAAAAAAAAAAAAAAAAAAAAAAFtDb250ZW50X1R5cGVzXS54bWxQSwECLQAU &#10;AAYACAAAACEAOP0h/9YAAACUAQAACwAAAAAAAAAAAAAAAAA9AQAAX3JlbHMvLnJlbHNQSwECLQAU &#10;AAYACAAAACEAG6GkJYcBAABvAwAADgAAAAAAAAAAAAAAAAA8AgAAZHJzL2Uyb0RvYy54bWxQSwEC &#10;LQAUAAYACAAAACEAnmQQgxACAAASBQAAEAAAAAAAAAAAAAAAAADvAwAAZHJzL2luay9pbmsxLnht &#10;bFBLAQItABQABgAIAAAAIQAAIefD3gAAABABAAAPAAAAAAAAAAAAAAAAAC0GAABkcnMvZG93bnJl &#10;di54bWxQSwECLQAUAAYACAAAACEAeRi8nb8AAAAhAQAAGQAAAAAAAAAAAAAAAAA4BwAAZHJzL19y &#10;ZWxzL2Uyb0RvYy54bWwucmVsc1BLBQYAAAAABgAGAHgBAAAuCAAAAAA= &#10;">
            <v:imagedata r:id="rId1" o:title=""/>
            <w10:wrap/>
          </v:shape>
        </w:pict>
      </w:r>
      <w:r w:rsidDel="00000000" w:rsidR="00000000" w:rsidRPr="00000000">
        <w:pict>
          <v:shape id="Tinta 1" style="position:absolute;left:0;text-align:left;margin-left:380.0pt;margin-top:43.95pt;width:1.75pt;height:1.1pt;z-index:251665920;visibility:visible;mso-wrap-style:square;mso-width-percent:0;mso-height-percent:0;mso-wrap-distance-left:3.65844mm;mso-wrap-distance-top:.51458mm;mso-wrap-distance-right:3.65039mm;mso-wrap-distance-bottom:.50872mm;mso-position-horizontal:absolute;mso-position-horizontal-relative:margin;mso-position-vertical:absolute;mso-position-vertical-relative:text;mso-width-percent:0;mso-height-percent:0;mso-width-relative:page;mso-height-relative:page" o:spid="_x0000_s1026" type="#_x0000_t75" o:gfxdata="UEsDBBQABgAIAAAAIQCbMyc3DAEAAC0CAAATAAAAW0NvbnRlbnRfVHlwZXNdLnhtbISRsU7DMBRF &#10;dyT+wfKKEqcdEEJJOpAyAkLlAyz7JbHqPFt+JrR/j5O2C1AyeLD97rlHdrk5DJaNEMg4rPgqLzgD &#10;VE4b7Cr+sXvOHjijKFFL6xAqfgTim/r2ptwdPRBLaaSK9zH6RyFI9TBIyp0HTDetC4OMaRs64aXa &#10;yw7EuijuhXIYAWMWJwavywZa+Wkj2x7S8ckkgCXOnk6DU1fFpffWKBmTqRhR/2jJzg15Ss4z1BtP &#10;d0mDiz8bppvrBefca3qaYDSwNxniixyShtCBBKxd41T+P2OSHChzbWsU5E2g7Zy6OF1jG9yLtFYL &#10;9DQy2CWWdl8YYFxA/RJtUuwdxgtdzJ9dfwMAAP//AwBQSwMEFAAGAAgAAAAhADj9If/WAAAAlAEA &#10;AAsAAABfcmVscy8ucmVsc6SQwWrDMAyG74O9g9F9cZrDGKNOL6PQa+kewNiKYxpbRjLZ+vYzg8Ey &#10;ettRv9D3iX9/+EyLWpElUjaw63pQmB35mIOB98vx6QWUVJu9XSijgRsKHMbHh/0ZF1vbkcyxiGqU &#10;LAbmWsur1uJmTFY6KpjbZiJOtraRgy7WXW1APfT9s+bfDBg3THXyBvjkB1CXW2nmP+wUHZPQVDtH &#10;SdM0RXePqj195DOujWI5YDXgWb5DxrVrz4G+79390xvYljm6I9uEb+S2fhyoZT96vely/AIAAP// &#10;AwBQSwMEFAAGAAgAAAAhAB0ORP2iAQAAgQMAAA4AAABkcnMvZTJvRG9jLnhtbJxT0U7jMBB8R+If &#10;LL/TJCUtEDVFiAoJ6e7gAT7AOHZjEXuttUvK398maWihnE7iJZJ35PHszGRxvbUNe1MYDLiSZ5OU &#10;M+UkVMatS/78dHd2yVmIwlWiAadK/q4Cv16enixaX6gp1NBUChmRuFC0vuR1jL5IkiBrZUWYgFeO &#10;QA1oRaQjrpMKRUvstkmmaTpPWsDKI0gVAk1XA8iXPb/WSsYHrYOKrCn5ZZ7mnMWSz89npBNpks6v &#10;OHuhSXo158lyIYo1Cl8buZMkfqDICuNIwAfVSkTBNmiOqKyRCAF0nEiwCWhtpOr3oc2y9Mtm9+61 &#10;2yrL5QYLCS4qFx8FxtG7HvjJE7YhB9rfUFE6YhOB7xjJnv+HMYhegdxY0jMkgqoRkeoQauMD2VyY &#10;quR4X2V7/e7tdr/BI+73+vMVEFleSP8L5GsYI8nyI2XfOrkrymBmHwpzcFsLt1Y3wVMzqK9d5slo &#10;6tHjI/IvuVuNtguaXGDbklOn3rtv3yO1jUzScHaRzTiTBGTTix4bWYfb4+kgUpL0qTyH507uwZ+z &#10;/AsAAP//AwBQSwMEFAAGAAgAAAAhAEiNI3UhAgAAQwUAABAAAABkcnMvaW5rL2luazEueG1stFPJ &#10;btswEL0X6D8Q7KEXy+JmbYicUw0UaIEiSYH2qEiMRUSiDIpe8vcdkbKsIE5PLQSInO1x5vHx5vbU &#10;NuggTa86nWO6JBhJXXaV0tsc/3zYBAlGvS10VTSdljl+kT2+XX/8cKP0c9tk8EeAoPth1zY5rq3d &#10;ZWF4PB6XR77szDZkhPDwq37+/g2vx6pKPimtLBzZn11lp6082QEsU1WOS3siUz5g33d7U8opPHhM &#10;ecmwpijlpjNtYSfEutBaNkgXLfT9CyP7soONgnO20mDUKhg4YEsqYpF8ScFRnHI8s/fQYg+dtDi8 &#10;jvn7P2Bu3mIObXEWRzFGY0uVPAw9hY7z7P3Zf5huJ41V8kKzJ2UMvKDS244fT5SRfdfsh7vB6FA0 &#10;e6CMEgKyGM+m4RVC3uIBN/8UD3h5F2/e3GtqxvHmPIykTZI6X61VrQSht7tJY7YH4MF9b417Doww &#10;ERAW0PSBppmIMhaDepLZVYwqPmM+mn1fT3iP5qJXF5lY85MdVWXriXSyJKuJ9Dnl10prqba1/Vvt &#10;OLYrnpRz5R06MaFxjjv5lONP7ikiV+kdbhCKBKJxyhafCXyCpgtM4IvTBUEEItytCRkWYMwtK+cM &#10;Iu9MIudMY794i3IfTMWsEEVssFDkUpHwFvWZPHGZwtfz8aSVd1K3rHwKG7EF9W5GfRbjDjDg3NmI &#10;Ur7g0HUsFpQEIqBsFb96bBOBoKL1HwAAAP//AwBQSwMEFAAGAAgAAAAhAOdQmR3lAAAADgEAAA8A &#10;AABkcnMvZG93bnJldi54bWxMj09Pg0AQxe8mfofNmHgx7S5qoVCGxrb2bKSaeNzCCOj+Iey20G/v &#10;etLLJC8z89775etJK3amwXXWIERzAYxMZevONAhvh/1sCcx5aWqprCGECzlYF9dXucxqO5pXOpe+ &#10;YcHEuEwitN73GeeuaklLN7c9mbD7tIOWPsih4fUgx2CuFb8XIuZadiYktLKnbUvVd3nSCG5XPt69 &#10;bFR6SbbP48fmq4/4+wLx9mbarcJ4WgHzNPm/D/hlCP2hCMWO9mRqxxRCEosA5BGWSQosHCTxwwLY &#10;ESEVEfAi5/8xih8AAAD//wMAUEsDBBQABgAIAAAAIQB5GLydvwAAACEBAAAZAAAAZHJzL19yZWxz &#10;L2Uyb0RvYy54bWwucmVsc4TPsWrEMAwG4L3QdzDaGyUdylHiZDkOspYUbjWOkpjEsrGc0nv7euzB &#10;wQ0ahND3S23/63f1Q0lcYA1NVYMitmFyvGj4Hi9vJ1CSDU9mD0wabiTQd68v7RftJpclWV0UVRQW &#10;DWvO8RNR7EreSBUicZnMIXmTS5sWjMZuZiF8r+sPTP8N6O5MNUwa0jA1oMZbLMnP7TDPztI52MMT &#10;5wcRaA/JwV/9XlCTFsoaHG9YqqnKoYBdi3ePdX8AAAD//wMAUEsBAi0AFAAGAAgAAAAhAJszJzcM &#10;AQAALQIAABMAAAAAAAAAAAAAAAAAAAAAAFtDb250ZW50X1R5cGVzXS54bWxQSwECLQAUAAYACAAA &#10;ACEAOP0h/9YAAACUAQAACwAAAAAAAAAAAAAAAAA9AQAAX3JlbHMvLnJlbHNQSwECLQAUAAYACAAA &#10;ACEAHQ5E/aIBAACBAwAADgAAAAAAAAAAAAAAAAA8AgAAZHJzL2Uyb0RvYy54bWxQSwECLQAUAAYA &#10;CAAAACEASI0jdSECAABDBQAAEAAAAAAAAAAAAAAAAAAKBAAAZHJzL2luay9pbmsxLnhtbFBLAQIt &#10;ABQABgAIAAAAIQDnUJkd5QAAAA4BAAAPAAAAAAAAAAAAAAAAAFkGAABkcnMvZG93bnJldi54bWxQ &#10;SwECLQAUAAYACAAAACEAeRi8nb8AAAAhAQAAGQAAAAAAAAAAAAAAAABrBwAAZHJzL19yZWxzL2Uy &#10;b0RvYy54bWwucmVsc1BLBQYAAAAABgAGAHgBAABhCAAAAAA= &#10;">
            <v:imagedata r:id="rId2" o:title=""/>
            <w10:wrap/>
          </v:shape>
        </w:pict>
      </w:r>
    </w:p>
    <w:p w:rsidR="00000000" w:rsidDel="00000000" w:rsidP="00000000" w:rsidRDefault="00000000" w:rsidRPr="00000000" w14:paraId="00000021">
      <w:pPr>
        <w:spacing w:line="240"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i w:val="1"/>
          <w:iCs w:val="1"/>
          <w:rtl w:val="0"/>
        </w:rPr>
        <w:t xml:space="preserve">Defesa do executado amparada pela doutrina e jurisprudência</w:t>
      </w:r>
      <w:r w:rsidDel="00000000" w:rsidR="00000000" w:rsidRPr="00000000">
        <w:rPr>
          <w:rFonts w:ascii="Quattrocento Sans" w:cs="Quattrocento Sans" w:eastAsia="Quattrocento Sans" w:hAnsi="Quattrocento Sans"/>
          <w:rtl w:val="0"/>
        </w:rPr>
        <w:t xml:space="preserve"> </w:t>
      </w:r>
    </w:p>
    <w:p w:rsidR="00000000" w:rsidDel="00000000" w:rsidP="00000000" w:rsidRDefault="00000000" w:rsidRPr="00000000" w14:paraId="00000022">
      <w:pPr>
        <w:jc w:val="both"/>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23">
      <w:pPr>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A exceção de pré-executividade consubstancia mecanismo de defesa do executado que prescinde de segurança prévia, revelando-se como instrumento de justiça desenvolvido pela doutrina e pela jurisprudência e de aceitação pacífica no ordenamento jurídico. </w:t>
      </w:r>
    </w:p>
    <w:p w:rsidR="00000000" w:rsidDel="00000000" w:rsidP="00000000" w:rsidRDefault="00000000" w:rsidRPr="00000000" w14:paraId="00000024">
      <w:pPr>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Trata-se de saudável construção engendrada pelos processualistas pátrios com fito de propiciar, ao coagido por execução irregular, resistência aos atos executórios, trazendo à apreciação do julgador as nulidades que maculam o procedimento executivo. De modo simplista, trata-se de pedido direto de extinção do processo, ainda que apenas em relação a um dos executados, independentemente do manejo dos embargos e da segurança do juízo. </w:t>
      </w:r>
    </w:p>
    <w:p w:rsidR="00000000" w:rsidDel="00000000" w:rsidP="00000000" w:rsidRDefault="00000000" w:rsidRPr="00000000" w14:paraId="00000025">
      <w:pPr>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Com efeito, de tão pacificada, a matéria restou sumulada no âmbito do STJ:</w:t>
      </w:r>
    </w:p>
    <w:p w:rsidR="00000000" w:rsidDel="00000000" w:rsidP="00000000" w:rsidRDefault="00000000" w:rsidRPr="00000000" w14:paraId="00000026">
      <w:pPr>
        <w:ind w:left="1701" w:firstLine="0"/>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Súmula 393: A exceção de pré-executividade é admissível na execução fiscal relativamente às matérias conhecíveis de ofício que não demandem dilação probatória.</w:t>
      </w:r>
      <w:r w:rsidDel="00000000" w:rsidR="00000000" w:rsidRPr="00000000">
        <w:rPr>
          <w:rFonts w:ascii="Quattrocento Sans" w:cs="Quattrocento Sans" w:eastAsia="Quattrocento Sans" w:hAnsi="Quattrocento Sans"/>
          <w:rtl w:val="0"/>
        </w:rPr>
        <w:t xml:space="preserve"> </w:t>
      </w:r>
    </w:p>
    <w:p w:rsidR="00000000" w:rsidDel="00000000" w:rsidP="00000000" w:rsidRDefault="00000000" w:rsidRPr="00000000" w14:paraId="00000027">
      <w:pPr>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28">
      <w:pPr>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Ademais, o artigo 803, do CPC/2015, também confirma o cabimento da presente via, conforme disposto em seu parágrafo único: </w:t>
      </w:r>
    </w:p>
    <w:p w:rsidR="00000000" w:rsidDel="00000000" w:rsidP="00000000" w:rsidRDefault="00000000" w:rsidRPr="00000000" w14:paraId="00000029">
      <w:pPr>
        <w:spacing w:after="0" w:lineRule="auto"/>
        <w:ind w:left="1701" w:firstLine="0"/>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2A">
      <w:pPr>
        <w:spacing w:after="0" w:lineRule="auto"/>
        <w:ind w:left="1701" w:firstLine="0"/>
        <w:jc w:val="both"/>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Art. 803 do CPC: É nula a execução se: </w:t>
      </w:r>
    </w:p>
    <w:p w:rsidR="00000000" w:rsidDel="00000000" w:rsidP="00000000" w:rsidRDefault="00000000" w:rsidRPr="00000000" w14:paraId="0000002B">
      <w:pPr>
        <w:spacing w:after="0" w:lineRule="auto"/>
        <w:ind w:left="1701" w:firstLine="0"/>
        <w:jc w:val="both"/>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I - o título executivo extrajudicial não corresponder a obrigação certa, líquida e exigível; </w:t>
      </w:r>
    </w:p>
    <w:p w:rsidR="00000000" w:rsidDel="00000000" w:rsidP="00000000" w:rsidRDefault="00000000" w:rsidRPr="00000000" w14:paraId="0000002C">
      <w:pPr>
        <w:spacing w:after="0" w:lineRule="auto"/>
        <w:ind w:left="1701" w:firstLine="0"/>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II - o executado não for regularmente citado; </w:t>
      </w:r>
    </w:p>
    <w:p w:rsidR="00000000" w:rsidDel="00000000" w:rsidP="00000000" w:rsidRDefault="00000000" w:rsidRPr="00000000" w14:paraId="0000002D">
      <w:pPr>
        <w:spacing w:after="0" w:lineRule="auto"/>
        <w:ind w:left="1701" w:firstLine="0"/>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III - for instaurada antes de se verificar a condição ou de ocorrer o termo. </w:t>
      </w:r>
    </w:p>
    <w:p w:rsidR="00000000" w:rsidDel="00000000" w:rsidP="00000000" w:rsidRDefault="00000000" w:rsidRPr="00000000" w14:paraId="0000002E">
      <w:pPr>
        <w:ind w:left="1701" w:firstLine="0"/>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Parágrafo único. </w:t>
      </w:r>
      <w:r w:rsidDel="00000000" w:rsidR="00000000" w:rsidRPr="00000000">
        <w:rPr>
          <w:rFonts w:ascii="Quattrocento Sans" w:cs="Quattrocento Sans" w:eastAsia="Quattrocento Sans" w:hAnsi="Quattrocento Sans"/>
          <w:b w:val="1"/>
          <w:bCs w:val="1"/>
          <w:rtl w:val="0"/>
        </w:rPr>
        <w:t xml:space="preserve">A nulidade de que cuida este artigo será pronunciada pelo juiz, de ofício ou a requerimento da parte</w:t>
      </w:r>
      <w:r w:rsidDel="00000000" w:rsidR="00000000" w:rsidRPr="00000000">
        <w:rPr>
          <w:rFonts w:ascii="Quattrocento Sans" w:cs="Quattrocento Sans" w:eastAsia="Quattrocento Sans" w:hAnsi="Quattrocento Sans"/>
          <w:rtl w:val="0"/>
        </w:rPr>
        <w:t xml:space="preserve">, independentemente de embargos à execução. </w:t>
      </w:r>
    </w:p>
    <w:p w:rsidR="00000000" w:rsidDel="00000000" w:rsidP="00000000" w:rsidRDefault="00000000" w:rsidRPr="00000000" w14:paraId="0000002F">
      <w:pPr>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Destarte, considerando que as alegações trazidas ao crivo de Vossa Excelência, para além de serem passíveis de conhecimento de plano, através da simples análise dos próprios autos, não necessitam, ainda, de dilação probatória, inelutável restar cabível o manejo da presente exceção de pré-executividade a fim de demonstrar que a presente execução padece de nulidade, posto que fulminada pela decadência.</w:t>
      </w:r>
    </w:p>
    <w:p w:rsidR="00000000" w:rsidDel="00000000" w:rsidP="00000000" w:rsidRDefault="00000000" w:rsidRPr="00000000" w14:paraId="00000030">
      <w:pPr>
        <w:jc w:val="both"/>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31">
      <w:pPr>
        <w:spacing w:after="0" w:line="240" w:lineRule="auto"/>
        <w:jc w:val="both"/>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DA DECADÊNCIA</w:t>
      </w:r>
    </w:p>
    <w:p w:rsidR="00000000" w:rsidDel="00000000" w:rsidP="00000000" w:rsidRDefault="00000000" w:rsidRPr="00000000" w14:paraId="00000032">
      <w:pPr>
        <w:jc w:val="both"/>
        <w:rPr>
          <w:rFonts w:ascii="Quattrocento Sans" w:cs="Quattrocento Sans" w:eastAsia="Quattrocento Sans" w:hAnsi="Quattrocento Sans"/>
          <w:i w:val="1"/>
          <w:iCs w:val="1"/>
        </w:rPr>
      </w:pPr>
      <w:r w:rsidDel="00000000" w:rsidR="00000000" w:rsidRPr="00000000">
        <w:rPr>
          <w:rFonts w:ascii="Quattrocento Sans" w:cs="Quattrocento Sans" w:eastAsia="Quattrocento Sans" w:hAnsi="Quattrocento Sans"/>
          <w:i w:val="1"/>
          <w:iCs w:val="1"/>
          <w:rtl w:val="0"/>
        </w:rPr>
        <w:t xml:space="preserve">Perda do direito de constituir o crédito pelo lançamento. Extinção do crédito tributário.</w:t>
      </w:r>
    </w:p>
    <w:p w:rsidR="00000000" w:rsidDel="00000000" w:rsidP="00000000" w:rsidRDefault="00000000" w:rsidRPr="00000000" w14:paraId="00000033">
      <w:pPr>
        <w:jc w:val="both"/>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34">
      <w:pPr>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A decadência tributária consiste na perda do direito de a Fazenda Pública constituir o crédito tributário pelo lançamento, em razão do transcurso do prazo legal sem que o Fisco tenha formalizado o procedimento administrativo respectivo. Diferencia-se da prescrição, que atinge a pretensão de cobrança judicial do crédito já constituído.</w:t>
      </w:r>
    </w:p>
    <w:p w:rsidR="00000000" w:rsidDel="00000000" w:rsidP="00000000" w:rsidRDefault="00000000" w:rsidRPr="00000000" w14:paraId="00000035">
      <w:pPr>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O instituto encontra previsão expressa no Código Tributário Nacional, que erige a decadência como causa peremptória de extinção do crédito tributário:</w:t>
      </w:r>
    </w:p>
    <w:p w:rsidR="00000000" w:rsidDel="00000000" w:rsidP="00000000" w:rsidRDefault="00000000" w:rsidRPr="00000000" w14:paraId="00000036">
      <w:pPr>
        <w:jc w:val="both"/>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37">
      <w:pPr>
        <w:ind w:left="1700.7874015748032" w:firstLine="0"/>
        <w:jc w:val="both"/>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Art. 156 do CTN: </w:t>
      </w:r>
      <w:r w:rsidDel="00000000" w:rsidR="00000000" w:rsidRPr="00000000">
        <w:rPr>
          <w:rFonts w:ascii="Quattrocento Sans" w:cs="Quattrocento Sans" w:eastAsia="Quattrocento Sans" w:hAnsi="Quattrocento Sans"/>
          <w:rtl w:val="0"/>
        </w:rPr>
        <w:t xml:space="preserve">Extinguem o crédito tributário: (...) V - a prescrição e</w:t>
      </w:r>
      <w:r w:rsidDel="00000000" w:rsidR="00000000" w:rsidRPr="00000000">
        <w:rPr>
          <w:rFonts w:ascii="Quattrocento Sans" w:cs="Quattrocento Sans" w:eastAsia="Quattrocento Sans" w:hAnsi="Quattrocento Sans"/>
          <w:b w:val="1"/>
          <w:bCs w:val="1"/>
          <w:rtl w:val="0"/>
        </w:rPr>
        <w:t xml:space="preserve"> a decadência;</w:t>
      </w:r>
    </w:p>
    <w:p w:rsidR="00000000" w:rsidDel="00000000" w:rsidP="00000000" w:rsidRDefault="00000000" w:rsidRPr="00000000" w14:paraId="00000038">
      <w:pPr>
        <w:ind w:left="1700.7874015748032" w:firstLine="0"/>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Art. 150, § 4º do CTN: Se a lei não fixar prazo à homologação, será ele de cinco anos, a contar da ocorrência do fato gerador; </w:t>
      </w:r>
      <w:r w:rsidDel="00000000" w:rsidR="00000000" w:rsidRPr="00000000">
        <w:rPr>
          <w:rFonts w:ascii="Quattrocento Sans" w:cs="Quattrocento Sans" w:eastAsia="Quattrocento Sans" w:hAnsi="Quattrocento Sans"/>
          <w:rtl w:val="0"/>
        </w:rPr>
        <w:t xml:space="preserve">expirado esse prazo sem que a Fazenda Pública se tenha pronunciado, considera-se homologado o lançamento e definitivamente extinto o crédito, salvo se comprovada a ocorrência de dolo, fraude ou simulação. (...)</w:t>
      </w:r>
    </w:p>
    <w:p w:rsidR="00000000" w:rsidDel="00000000" w:rsidP="00000000" w:rsidRDefault="00000000" w:rsidRPr="00000000" w14:paraId="00000039">
      <w:pPr>
        <w:ind w:left="1700.7874015748032" w:firstLine="0"/>
        <w:jc w:val="both"/>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Art. 173, I do CTN: O direito de a Fazenda Pública constituir o crédito tributário extingue-se após 5 (cinco) anos, contados: </w:t>
      </w:r>
    </w:p>
    <w:p w:rsidR="00000000" w:rsidDel="00000000" w:rsidP="00000000" w:rsidRDefault="00000000" w:rsidRPr="00000000" w14:paraId="0000003A">
      <w:pPr>
        <w:ind w:left="1700.7874015748032" w:firstLine="0"/>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I - do primeiro dia do exercício seguinte àquele em que o lançamento poderia ter sido efetuado;</w:t>
      </w:r>
      <w:r w:rsidDel="00000000" w:rsidR="00000000" w:rsidRPr="00000000">
        <w:rPr>
          <w:rtl w:val="0"/>
        </w:rPr>
      </w:r>
    </w:p>
    <w:p w:rsidR="00000000" w:rsidDel="00000000" w:rsidP="00000000" w:rsidRDefault="00000000" w:rsidRPr="00000000" w14:paraId="0000003B">
      <w:pPr>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Assim, para os tributos sujeitos a lançamento por homologação, a regra é a do art. 150, § 4º, do CTN: havendo pagamento antecipado, o prazo decadencial de 5 (cinco) anos conta-se da ocorrência do fato gerador. Não havendo pagamento antecipado, ou comprovada a ocorrência de dolo, fraude ou simulação, aplica-se a regra do art. 173, I, do CTN, contando-se o prazo do primeiro dia do exercício seguinte àquele em que o lançamento poderia ter sido efetuado. Nesse sentido:</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1701" w:right="0" w:firstLine="0"/>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Súmula 555 do STJ: </w:t>
      </w:r>
      <w:r w:rsidDel="00000000" w:rsidR="00000000" w:rsidRPr="00000000">
        <w:rPr>
          <w:rFonts w:ascii="Quattrocento Sans" w:cs="Quattrocento Sans" w:eastAsia="Quattrocento Sans" w:hAnsi="Quattrocento Sans"/>
          <w:rtl w:val="0"/>
        </w:rPr>
        <w:t xml:space="preserve">Quando não houver o pagamento antecipado, o prazo decadencial para a constituição do crédito tributário é de cinco anos, contados do primeiro dia do exercício seguinte àquele em que o lançamento poderia ter sido efetuado.</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1701" w:right="0" w:firstLine="0"/>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3E">
      <w:pPr>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Sendo assim, passa-se a demonstrar a inequívoca ocorrência da decadência no caso em apreço.</w:t>
      </w:r>
    </w:p>
    <w:p w:rsidR="00000000" w:rsidDel="00000000" w:rsidP="00000000" w:rsidRDefault="00000000" w:rsidRPr="00000000" w14:paraId="0000003F">
      <w:pPr>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40">
      <w:pPr>
        <w:spacing w:after="0" w:line="240" w:lineRule="auto"/>
        <w:jc w:val="both"/>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DA DECADÊNCIA</w:t>
      </w:r>
    </w:p>
    <w:p w:rsidR="00000000" w:rsidDel="00000000" w:rsidP="00000000" w:rsidRDefault="00000000" w:rsidRPr="00000000" w14:paraId="00000041">
      <w:pPr>
        <w:jc w:val="both"/>
        <w:rPr>
          <w:rFonts w:ascii="Quattrocento Sans" w:cs="Quattrocento Sans" w:eastAsia="Quattrocento Sans" w:hAnsi="Quattrocento Sans"/>
          <w:i w:val="1"/>
          <w:iCs w:val="1"/>
        </w:rPr>
      </w:pPr>
      <w:r w:rsidDel="00000000" w:rsidR="00000000" w:rsidRPr="00000000">
        <w:rPr>
          <w:rFonts w:ascii="Quattrocento Sans" w:cs="Quattrocento Sans" w:eastAsia="Quattrocento Sans" w:hAnsi="Quattrocento Sans"/>
          <w:i w:val="1"/>
          <w:iCs w:val="1"/>
          <w:rtl w:val="0"/>
        </w:rPr>
        <w:t xml:space="preserve">Impõe-se a extinção do crédito tributário.</w:t>
      </w:r>
    </w:p>
    <w:p w:rsidR="00000000" w:rsidDel="00000000" w:rsidP="00000000" w:rsidRDefault="00000000" w:rsidRPr="00000000" w14:paraId="00000042">
      <w:pPr>
        <w:spacing w:after="120" w:before="60" w:line="276" w:lineRule="auto"/>
        <w:jc w:val="both"/>
        <w:rPr>
          <w:rFonts w:ascii="Quattrocento Sans" w:cs="Quattrocento Sans" w:eastAsia="Quattrocento Sans" w:hAnsi="Quattrocento Sans"/>
          <w:b w:val="1"/>
          <w:bCs w:val="1"/>
        </w:rPr>
      </w:pPr>
      <w:r w:rsidDel="00000000" w:rsidR="00000000" w:rsidRPr="00000000">
        <w:rPr>
          <w:rtl w:val="0"/>
        </w:rPr>
      </w:r>
    </w:p>
    <w:p>
      <w:r>
        <w:t>+++FOR p IN periodos_decadencia+++</w:t>
      </w:r>
    </w:p>
    <w:p w:rsidR="00000000" w:rsidDel="00000000" w:rsidP="00000000" w:rsidRDefault="00000000" w:rsidRPr="00000000" w14:paraId="00000043">
      <w:pPr>
        <w:spacing w:after="120" w:before="60" w:line="276"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Inicialmente, registra-se que o crédito constante da CDA nº </w:t>
      </w:r>
      <w:r w:rsidDel="00000000" w:rsidR="00000000" w:rsidRPr="00000000">
        <w:rPr>
          <w:rFonts w:ascii="Quattrocento Sans" w:cs="Quattrocento Sans" w:eastAsia="Quattrocento Sans" w:hAnsi="Quattrocento Sans"/>
          <w:b w:val="1"/>
          <w:bCs w:val="1"/>
          <w:rtl w:val="0"/>
        </w:rPr>
        <w:t xml:space="preserve">+++INS $p.cda+++</w:t>
      </w:r>
      <w:r w:rsidDel="00000000" w:rsidR="00000000" w:rsidRPr="00000000">
        <w:rPr>
          <w:rFonts w:ascii="Quattrocento Sans" w:cs="Quattrocento Sans" w:eastAsia="Quattrocento Sans" w:hAnsi="Quattrocento Sans"/>
          <w:rtl w:val="0"/>
        </w:rPr>
        <w:t xml:space="preserve"> teve origem na modalidade de lançamento </w:t>
      </w:r>
      <w:r w:rsidDel="00000000" w:rsidR="00000000" w:rsidRPr="00000000">
        <w:rPr>
          <w:rFonts w:ascii="Quattrocento Sans" w:cs="Quattrocento Sans" w:eastAsia="Quattrocento Sans" w:hAnsi="Quattrocento Sans"/>
          <w:b w:val="1"/>
          <w:bCs w:val="1"/>
          <w:rtl w:val="0"/>
        </w:rPr>
        <w:t xml:space="preserve">+++INS $p.modalidade+++</w:t>
      </w:r>
      <w:r w:rsidDel="00000000" w:rsidR="00000000" w:rsidRPr="00000000">
        <w:rPr>
          <w:rFonts w:ascii="Quattrocento Sans" w:cs="Quattrocento Sans" w:eastAsia="Quattrocento Sans" w:hAnsi="Quattrocento Sans"/>
          <w:rtl w:val="0"/>
        </w:rPr>
        <w:t xml:space="preserve"> referente ao(s) período(s) de apuração </w:t>
      </w:r>
      <w:r w:rsidDel="00000000" w:rsidR="00000000" w:rsidRPr="00000000">
        <w:rPr>
          <w:rFonts w:ascii="Quattrocento Sans" w:cs="Quattrocento Sans" w:eastAsia="Quattrocento Sans" w:hAnsi="Quattrocento Sans"/>
          <w:b w:val="1"/>
          <w:bCs w:val="1"/>
          <w:rtl w:val="0"/>
        </w:rPr>
        <w:t xml:space="preserve">+++INS $p.periodo+++</w:t>
      </w:r>
      <w:r w:rsidDel="00000000" w:rsidR="00000000" w:rsidRPr="00000000">
        <w:rPr>
          <w:rFonts w:ascii="Quattrocento Sans" w:cs="Quattrocento Sans" w:eastAsia="Quattrocento Sans" w:hAnsi="Quattrocento Sans"/>
          <w:rtl w:val="0"/>
        </w:rPr>
        <w:t xml:space="preserve">.</w:t>
      </w:r>
    </w:p>
    <w:p w:rsidR="00000000" w:rsidDel="00000000" w:rsidP="00000000" w:rsidRDefault="00000000" w:rsidRPr="00000000" w14:paraId="00000044">
      <w:pPr>
        <w:spacing w:after="120" w:before="60" w:line="276"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O fato gerador do tributo ocorreu em </w:t>
      </w:r>
      <w:r w:rsidDel="00000000" w:rsidR="00000000" w:rsidRPr="00000000">
        <w:rPr>
          <w:rFonts w:ascii="Quattrocento Sans" w:cs="Quattrocento Sans" w:eastAsia="Quattrocento Sans" w:hAnsi="Quattrocento Sans"/>
          <w:b w:val="1"/>
          <w:bCs w:val="1"/>
          <w:rtl w:val="0"/>
        </w:rPr>
        <w:t xml:space="preserve">+++INS $p.fato_gerador+++</w:t>
      </w:r>
      <w:r w:rsidDel="00000000" w:rsidR="00000000" w:rsidRPr="00000000">
        <w:rPr>
          <w:rFonts w:ascii="Quattrocento Sans" w:cs="Quattrocento Sans" w:eastAsia="Quattrocento Sans" w:hAnsi="Quattrocento Sans"/>
          <w:rtl w:val="0"/>
        </w:rPr>
        <w:t xml:space="preserve">, tendo o contribuinte </w:t>
      </w:r>
      <w:r w:rsidDel="00000000" w:rsidR="00000000" w:rsidRPr="00000000">
        <w:rPr>
          <w:rFonts w:ascii="Quattrocento Sans" w:cs="Quattrocento Sans" w:eastAsia="Quattrocento Sans" w:hAnsi="Quattrocento Sans"/>
          <w:b w:val="1"/>
          <w:bCs w:val="1"/>
          <w:rtl w:val="0"/>
        </w:rPr>
        <w:t xml:space="preserve">+++INS $p.pagamento+++</w:t>
      </w:r>
      <w:r w:rsidDel="00000000" w:rsidR="00000000" w:rsidRPr="00000000">
        <w:rPr>
          <w:rFonts w:ascii="Quattrocento Sans" w:cs="Quattrocento Sans" w:eastAsia="Quattrocento Sans" w:hAnsi="Quattrocento Sans"/>
          <w:rtl w:val="0"/>
        </w:rPr>
        <w:t xml:space="preserve"> o pagamento antecipado da exação, conforme </w:t>
      </w:r>
      <w:r w:rsidDel="00000000" w:rsidR="00000000" w:rsidRPr="00000000">
        <w:rPr>
          <w:rFonts w:ascii="Quattrocento Sans" w:cs="Quattrocento Sans" w:eastAsia="Quattrocento Sans" w:hAnsi="Quattrocento Sans"/>
          <w:b w:val="1"/>
          <w:bCs w:val="1"/>
          <w:rtl w:val="0"/>
        </w:rPr>
        <w:t xml:space="preserve">+++INS $p.doc_comprovante+++</w:t>
      </w:r>
      <w:r w:rsidDel="00000000" w:rsidR="00000000" w:rsidRPr="00000000">
        <w:rPr>
          <w:rFonts w:ascii="Quattrocento Sans" w:cs="Quattrocento Sans" w:eastAsia="Quattrocento Sans" w:hAnsi="Quattrocento Sans"/>
          <w:rtl w:val="0"/>
        </w:rPr>
        <w:t xml:space="preserve">.</w:t>
      </w:r>
    </w:p>
    <w:p w:rsidR="00000000" w:rsidDel="00000000" w:rsidP="00000000" w:rsidRDefault="00000000" w:rsidRPr="00000000" w14:paraId="00000045">
      <w:pPr>
        <w:spacing w:after="120" w:before="60" w:line="276"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Considerando a modalidade de lançamento aplicável, o prazo decadencial teve início em </w:t>
      </w:r>
      <w:r w:rsidDel="00000000" w:rsidR="00000000" w:rsidRPr="00000000">
        <w:rPr>
          <w:rFonts w:ascii="Quattrocento Sans" w:cs="Quattrocento Sans" w:eastAsia="Quattrocento Sans" w:hAnsi="Quattrocento Sans"/>
          <w:b w:val="1"/>
          <w:bCs w:val="1"/>
          <w:rtl w:val="0"/>
        </w:rPr>
        <w:t xml:space="preserve">+++INS $p.marco_inicial+++ (+++INS $p.artigo_marco+++)</w:t>
      </w:r>
      <w:r w:rsidDel="00000000" w:rsidR="00000000" w:rsidRPr="00000000">
        <w:rPr>
          <w:rFonts w:ascii="Quattrocento Sans" w:cs="Quattrocento Sans" w:eastAsia="Quattrocento Sans" w:hAnsi="Quattrocento Sans"/>
          <w:rtl w:val="0"/>
        </w:rPr>
        <w:t xml:space="preserve">, consumando-se em </w:t>
      </w:r>
      <w:r w:rsidDel="00000000" w:rsidR="00000000" w:rsidRPr="00000000">
        <w:rPr>
          <w:rFonts w:ascii="Quattrocento Sans" w:cs="Quattrocento Sans" w:eastAsia="Quattrocento Sans" w:hAnsi="Quattrocento Sans"/>
          <w:b w:val="1"/>
          <w:bCs w:val="1"/>
          <w:rtl w:val="0"/>
        </w:rPr>
        <w:t xml:space="preserve">+++INS $p.termo_final+++</w:t>
      </w:r>
      <w:r w:rsidDel="00000000" w:rsidR="00000000" w:rsidRPr="00000000">
        <w:rPr>
          <w:rFonts w:ascii="Quattrocento Sans" w:cs="Quattrocento Sans" w:eastAsia="Quattrocento Sans" w:hAnsi="Quattrocento Sans"/>
          <w:rtl w:val="0"/>
        </w:rPr>
        <w:t xml:space="preserve">.</w:t>
      </w:r>
      <w:r w:rsidDel="00000000" w:rsidR="00000000" w:rsidRPr="00000000">
        <w:rPr>
          <w:rFonts w:ascii="Quattrocento Sans" w:cs="Quattrocento Sans" w:eastAsia="Quattrocento Sans" w:hAnsi="Quattrocento Sans"/>
          <w:rtl w:val="0"/>
        </w:rPr>
        <w:t xml:space="preserve"/>
      </w:r>
    </w:p>
    <w:p w:rsidR="00000000" w:rsidDel="00000000" w:rsidP="00000000" w:rsidRDefault="00000000" w:rsidRPr="00000000" w14:paraId="00000046">
      <w:pPr>
        <w:spacing w:after="120" w:before="60" w:line="276" w:lineRule="auto"/>
        <w:jc w:val="both"/>
        <w:rPr>
          <w:rFonts w:ascii="Quattrocento Sans" w:cs="Quattrocento Sans" w:eastAsia="Quattrocento Sans" w:hAnsi="Quattrocento Sans"/>
        </w:rPr>
      </w:pPr>
      <w:r w:rsidDel="00000000" w:rsidR="00000000" w:rsidRPr="00000000">
        <w:rPr>
          <w:rtl w:val="0"/>
        </w:rPr>
      </w:r>
    </w:p>
    <w:sdt>
      <w:sdtPr>
        <w:lock w:val="contentLocked"/>
        <w:id w:val="-1856471345"/>
        <w:tag w:val="goog_rdk_0"/>
      </w:sdtPr>
      <w:sdtContent>
        <w:tbl>
          <w:tblPr>
            <w:tblStyle w:val="Table2"/>
            <w:tblW w:w="8790.0" w:type="dxa"/>
            <w:jc w:val="left"/>
            <w:tblBorders>
              <w:top w:color="d1d5db" w:space="0" w:sz="1" w:val="single"/>
              <w:left w:color="d1d5db" w:space="0" w:sz="1" w:val="single"/>
              <w:bottom w:color="d1d5db" w:space="0" w:sz="1" w:val="single"/>
              <w:right w:color="d1d5db" w:space="0" w:sz="1" w:val="single"/>
              <w:insideH w:color="d1d5db" w:space="0" w:sz="1" w:val="single"/>
              <w:insideV w:color="d1d5db" w:space="0" w:sz="1" w:val="single"/>
            </w:tblBorders>
            <w:tblLayout w:type="fixed"/>
            <w:tblLook w:val="0000"/>
          </w:tblPr>
          <w:tblGrid>
            <w:gridCol w:w="3195"/>
            <w:gridCol w:w="2265"/>
            <w:gridCol w:w="3330"/>
            <w:tblGridChange w:id="0">
              <w:tblGrid>
                <w:gridCol w:w="3195"/>
                <w:gridCol w:w="2265"/>
                <w:gridCol w:w="333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5e7eb" w:val="clear"/>
                <w:tcMar>
                  <w:top w:w="115.0" w:type="dxa"/>
                  <w:left w:w="144.0" w:type="dxa"/>
                  <w:bottom w:w="115.0" w:type="dxa"/>
                  <w:right w:w="144.0" w:type="dxa"/>
                </w:tcMar>
              </w:tcPr>
              <w:p w:rsidR="00000000" w:rsidDel="00000000" w:rsidP="00000000" w:rsidRDefault="00000000" w:rsidRPr="00000000" w14:paraId="00000047">
                <w:pPr>
                  <w:spacing w:after="80" w:before="80" w:line="276" w:lineRule="auto"/>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sz w:val="20"/>
                    <w:szCs w:val="20"/>
                    <w:rtl w:val="0"/>
                  </w:rPr>
                  <w:t xml:space="preserve">Marco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5e7eb" w:val="clear"/>
                <w:tcMar>
                  <w:top w:w="115.0" w:type="dxa"/>
                  <w:left w:w="144.0" w:type="dxa"/>
                  <w:bottom w:w="115.0" w:type="dxa"/>
                  <w:right w:w="144.0" w:type="dxa"/>
                </w:tcMar>
              </w:tcPr>
              <w:p w:rsidR="00000000" w:rsidDel="00000000" w:rsidP="00000000" w:rsidRDefault="00000000" w:rsidRPr="00000000" w14:paraId="00000048">
                <w:pPr>
                  <w:spacing w:after="80" w:before="80" w:line="276" w:lineRule="auto"/>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sz w:val="20"/>
                    <w:szCs w:val="20"/>
                    <w:rtl w:val="0"/>
                  </w:rPr>
                  <w:t xml:space="preserve">Data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5e7eb" w:val="clear"/>
                <w:tcMar>
                  <w:top w:w="115.0" w:type="dxa"/>
                  <w:left w:w="144.0" w:type="dxa"/>
                  <w:bottom w:w="115.0" w:type="dxa"/>
                  <w:right w:w="144.0" w:type="dxa"/>
                </w:tcMar>
              </w:tcPr>
              <w:p w:rsidR="00000000" w:rsidDel="00000000" w:rsidP="00000000" w:rsidRDefault="00000000" w:rsidRPr="00000000" w14:paraId="00000049">
                <w:pPr>
                  <w:spacing w:after="80" w:before="80" w:line="276" w:lineRule="auto"/>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sz w:val="20"/>
                    <w:szCs w:val="20"/>
                    <w:rtl w:val="0"/>
                  </w:rPr>
                  <w:t xml:space="preserve">Fundamento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115.0" w:type="dxa"/>
                  <w:left w:w="144.0" w:type="dxa"/>
                  <w:bottom w:w="115.0" w:type="dxa"/>
                  <w:right w:w="144.0" w:type="dxa"/>
                </w:tcMar>
              </w:tcPr>
              <w:p w:rsidR="00000000" w:rsidDel="00000000" w:rsidP="00000000" w:rsidRDefault="00000000" w:rsidRPr="00000000" w14:paraId="0000004A">
                <w:pPr>
                  <w:spacing w:after="60" w:before="60" w:line="276" w:lineRule="auto"/>
                  <w:rPr>
                    <w:rFonts w:ascii="Quattrocento Sans" w:cs="Quattrocento Sans" w:eastAsia="Quattrocento Sans" w:hAnsi="Quattrocento Sans"/>
                  </w:rPr>
                </w:pPr>
                <w:r>
                  <w:t>+++FOR l IN $p.linhas+++</w:t>
                </w:r>
              </w:p>
            </w:tc>
            <w:tc>
              <w:tcPr>
                <w:tcBorders>
                  <w:top w:color="d1d5db" w:space="0" w:sz="4" w:val="single"/>
                  <w:left w:color="d1d5db" w:space="0" w:sz="4" w:val="single"/>
                  <w:bottom w:color="d1d5db" w:space="0" w:sz="4" w:val="single"/>
                  <w:right w:color="d1d5db" w:space="0" w:sz="4" w:val="single"/>
                </w:tcBorders>
                <w:tcMar>
                  <w:top w:w="115.0" w:type="dxa"/>
                  <w:left w:w="144.0" w:type="dxa"/>
                  <w:bottom w:w="115.0" w:type="dxa"/>
                  <w:right w:w="144.0" w:type="dxa"/>
                </w:tcMar>
              </w:tcPr>
              <w:p w:rsidR="00000000" w:rsidDel="00000000" w:rsidP="00000000" w:rsidRDefault="00000000" w:rsidRPr="00000000" w14:paraId="0000004B">
                <w:pPr>
                  <w:spacing w:after="60" w:before="60" w:line="276" w:lineRule="auto"/>
                  <w:rPr>
                    <w:rFonts w:ascii="Quattrocento Sans" w:cs="Quattrocento Sans" w:eastAsia="Quattrocento Sans" w:hAnsi="Quattrocento Sans"/>
                  </w:rPr>
                </w:pPr>
              </w:p>
            </w:tc>
            <w:tc>
              <w:tcPr>
                <w:tcBorders>
                  <w:top w:color="d1d5db" w:space="0" w:sz="4" w:val="single"/>
                  <w:left w:color="d1d5db" w:space="0" w:sz="4" w:val="single"/>
                  <w:bottom w:color="d1d5db" w:space="0" w:sz="4" w:val="single"/>
                  <w:right w:color="d1d5db" w:space="0" w:sz="4" w:val="single"/>
                </w:tcBorders>
                <w:tcMar>
                  <w:top w:w="115.0" w:type="dxa"/>
                  <w:left w:w="144.0" w:type="dxa"/>
                  <w:bottom w:w="115.0" w:type="dxa"/>
                  <w:right w:w="144.0" w:type="dxa"/>
                </w:tcMar>
              </w:tcPr>
              <w:p w:rsidR="00000000" w:rsidDel="00000000" w:rsidP="00000000" w:rsidRDefault="00000000" w:rsidRPr="00000000" w14:paraId="0000004C">
                <w:pPr>
                  <w:spacing w:after="60" w:before="60" w:line="276" w:lineRule="auto"/>
                  <w:rPr>
                    <w:rFonts w:ascii="Quattrocento Sans" w:cs="Quattrocento Sans" w:eastAsia="Quattrocento Sans" w:hAnsi="Quattrocento Sans"/>
                  </w:rPr>
                </w:pP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115.0" w:type="dxa"/>
                  <w:left w:w="144.0" w:type="dxa"/>
                  <w:bottom w:w="115.0" w:type="dxa"/>
                  <w:right w:w="144.0" w:type="dxa"/>
                </w:tcMar>
              </w:tcPr>
              <w:p w:rsidR="00000000" w:rsidDel="00000000" w:rsidP="00000000" w:rsidRDefault="00000000" w:rsidRPr="00000000" w14:paraId="0000004A">
                <w:pPr>
                  <w:spacing w:after="60" w:before="60" w:line="276"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sz w:val="20"/>
                    <w:szCs w:val="20"/>
                    <w:rtl w:val="0"/>
                  </w:rPr>
                  <w:t xml:space="preserve">+++INS $l.marco+++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15.0" w:type="dxa"/>
                  <w:left w:w="144.0" w:type="dxa"/>
                  <w:bottom w:w="115.0" w:type="dxa"/>
                  <w:right w:w="144.0" w:type="dxa"/>
                </w:tcMar>
              </w:tcPr>
              <w:p w:rsidR="00000000" w:rsidDel="00000000" w:rsidP="00000000" w:rsidRDefault="00000000" w:rsidRPr="00000000" w14:paraId="0000004B">
                <w:pPr>
                  <w:spacing w:after="60" w:before="60" w:line="276"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sz w:val="20"/>
                    <w:szCs w:val="20"/>
                    <w:rtl w:val="0"/>
                  </w:rPr>
                  <w:t xml:space="preserve">+++INS $l.data+++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15.0" w:type="dxa"/>
                  <w:left w:w="144.0" w:type="dxa"/>
                  <w:bottom w:w="115.0" w:type="dxa"/>
                  <w:right w:w="144.0" w:type="dxa"/>
                </w:tcMar>
              </w:tcPr>
              <w:p w:rsidR="00000000" w:rsidDel="00000000" w:rsidP="00000000" w:rsidRDefault="00000000" w:rsidRPr="00000000" w14:paraId="0000004C">
                <w:pPr>
                  <w:spacing w:after="60" w:before="60" w:line="276"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sz w:val="20"/>
                    <w:szCs w:val="20"/>
                    <w:rtl w:val="0"/>
                  </w:rPr>
                  <w:t xml:space="preserve">+++INS $l.fundamento+++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115.0" w:type="dxa"/>
                  <w:left w:w="144.0" w:type="dxa"/>
                  <w:bottom w:w="115.0" w:type="dxa"/>
                  <w:right w:w="144.0" w:type="dxa"/>
                </w:tcMar>
              </w:tcPr>
              <w:p w:rsidR="00000000" w:rsidDel="00000000" w:rsidP="00000000" w:rsidRDefault="00000000" w:rsidRPr="00000000" w14:paraId="0000004A">
                <w:pPr>
                  <w:spacing w:after="60" w:before="60" w:line="276" w:lineRule="auto"/>
                  <w:rPr>
                    <w:rFonts w:ascii="Quattrocento Sans" w:cs="Quattrocento Sans" w:eastAsia="Quattrocento Sans" w:hAnsi="Quattrocento Sans"/>
                  </w:rPr>
                </w:pPr>
                <w:r>
                  <w:t>+++END-FOR l+++</w:t>
                </w:r>
              </w:p>
            </w:tc>
            <w:tc>
              <w:tcPr>
                <w:tcBorders>
                  <w:top w:color="d1d5db" w:space="0" w:sz="4" w:val="single"/>
                  <w:left w:color="d1d5db" w:space="0" w:sz="4" w:val="single"/>
                  <w:bottom w:color="d1d5db" w:space="0" w:sz="4" w:val="single"/>
                  <w:right w:color="d1d5db" w:space="0" w:sz="4" w:val="single"/>
                </w:tcBorders>
                <w:tcMar>
                  <w:top w:w="115.0" w:type="dxa"/>
                  <w:left w:w="144.0" w:type="dxa"/>
                  <w:bottom w:w="115.0" w:type="dxa"/>
                  <w:right w:w="144.0" w:type="dxa"/>
                </w:tcMar>
              </w:tcPr>
              <w:p w:rsidR="00000000" w:rsidDel="00000000" w:rsidP="00000000" w:rsidRDefault="00000000" w:rsidRPr="00000000" w14:paraId="0000004B">
                <w:pPr>
                  <w:spacing w:after="60" w:before="60" w:line="276" w:lineRule="auto"/>
                  <w:rPr>
                    <w:rFonts w:ascii="Quattrocento Sans" w:cs="Quattrocento Sans" w:eastAsia="Quattrocento Sans" w:hAnsi="Quattrocento Sans"/>
                  </w:rPr>
                </w:pPr>
              </w:p>
            </w:tc>
            <w:tc>
              <w:tcPr>
                <w:tcBorders>
                  <w:top w:color="d1d5db" w:space="0" w:sz="4" w:val="single"/>
                  <w:left w:color="d1d5db" w:space="0" w:sz="4" w:val="single"/>
                  <w:bottom w:color="d1d5db" w:space="0" w:sz="4" w:val="single"/>
                  <w:right w:color="d1d5db" w:space="0" w:sz="4" w:val="single"/>
                </w:tcBorders>
                <w:tcMar>
                  <w:top w:w="115.0" w:type="dxa"/>
                  <w:left w:w="144.0" w:type="dxa"/>
                  <w:bottom w:w="115.0" w:type="dxa"/>
                  <w:right w:w="144.0" w:type="dxa"/>
                </w:tcMar>
              </w:tcPr>
              <w:p w:rsidR="00000000" w:rsidDel="00000000" w:rsidP="00000000" w:rsidRDefault="00000000" w:rsidRPr="00000000" w14:paraId="0000004C">
                <w:pPr>
                  <w:spacing w:after="60" w:before="60" w:line="276" w:lineRule="auto"/>
                  <w:rPr>
                    <w:rFonts w:ascii="Quattrocento Sans" w:cs="Quattrocento Sans" w:eastAsia="Quattrocento Sans" w:hAnsi="Quattrocento Sans"/>
                  </w:rPr>
                </w:pPr>
              </w:p>
            </w:tc>
          </w:tr>
        </w:tbl>
      </w:sdtContent>
    </w:sdt>
    <w:p w:rsidR="00000000" w:rsidDel="00000000" w:rsidP="00000000" w:rsidRDefault="00000000" w:rsidRPr="00000000" w14:paraId="00000056">
      <w:pPr>
        <w:spacing w:after="120" w:before="60" w:line="276" w:lineRule="auto"/>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57">
      <w:pPr>
        <w:spacing w:after="120" w:before="60" w:line="276"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Em que pese o prazo de cinco anos destinado à constituição do crédito tributário, observa-se que o lançamento foi efetuado/notificado em </w:t>
      </w:r>
      <w:r w:rsidDel="00000000" w:rsidR="00000000" w:rsidRPr="00000000">
        <w:rPr>
          <w:rFonts w:ascii="Quattrocento Sans" w:cs="Quattrocento Sans" w:eastAsia="Quattrocento Sans" w:hAnsi="Quattrocento Sans"/>
          <w:b w:val="1"/>
          <w:bCs w:val="1"/>
          <w:rtl w:val="0"/>
        </w:rPr>
        <w:t xml:space="preserve">+++INS $p.notificacao+++</w:t>
      </w:r>
      <w:r w:rsidDel="00000000" w:rsidR="00000000" w:rsidRPr="00000000">
        <w:rPr>
          <w:rFonts w:ascii="Quattrocento Sans" w:cs="Quattrocento Sans" w:eastAsia="Quattrocento Sans" w:hAnsi="Quattrocento Sans"/>
          <w:rtl w:val="0"/>
        </w:rPr>
        <w:t xml:space="preserve">, ou seja, </w:t>
      </w:r>
      <w:r w:rsidDel="00000000" w:rsidR="00000000" w:rsidRPr="00000000">
        <w:rPr>
          <w:rFonts w:ascii="Quattrocento Sans" w:cs="Quattrocento Sans" w:eastAsia="Quattrocento Sans" w:hAnsi="Quattrocento Sans"/>
          <w:b w:val="1"/>
          <w:bCs w:val="1"/>
          <w:rtl w:val="0"/>
        </w:rPr>
        <w:t xml:space="preserve">APÓS</w:t>
      </w:r>
      <w:r w:rsidDel="00000000" w:rsidR="00000000" w:rsidRPr="00000000">
        <w:rPr>
          <w:rFonts w:ascii="Quattrocento Sans" w:cs="Quattrocento Sans" w:eastAsia="Quattrocento Sans" w:hAnsi="Quattrocento Sans"/>
          <w:rtl w:val="0"/>
        </w:rPr>
        <w:t xml:space="preserve"> o crédito tributário ter sido inexoravelmente fulminado pela decadência.</w:t>
      </w:r>
    </w:p>
    <w:p>
      <w:r>
        <w:t>+++END-FOR p+++</w:t>
      </w:r>
    </w:p>
    <w:p w:rsidR="00000000" w:rsidDel="00000000" w:rsidP="00000000" w:rsidRDefault="00000000" w:rsidRPr="00000000" w14:paraId="00000058">
      <w:pPr>
        <w:spacing w:after="120" w:before="60" w:line="276"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Faz-se imperioso ressaltar que não houve qualquer causa de interrupção ou suspensão do prazo decadencial, tampouco comprovação de dolo, fraude ou simulação que pudesse deslocar o marco inicial para a regra do </w:t>
      </w:r>
      <w:r w:rsidDel="00000000" w:rsidR="00000000" w:rsidRPr="00000000">
        <w:rPr>
          <w:rFonts w:ascii="Quattrocento Sans" w:cs="Quattrocento Sans" w:eastAsia="Quattrocento Sans" w:hAnsi="Quattrocento Sans"/>
          <w:b w:val="1"/>
          <w:bCs w:val="1"/>
          <w:rtl w:val="0"/>
        </w:rPr>
        <w:t xml:space="preserve">art. 173, I, do CTN</w:t>
      </w:r>
      <w:r w:rsidDel="00000000" w:rsidR="00000000" w:rsidRPr="00000000">
        <w:rPr>
          <w:rFonts w:ascii="Quattrocento Sans" w:cs="Quattrocento Sans" w:eastAsia="Quattrocento Sans" w:hAnsi="Quattrocento Sans"/>
          <w:rtl w:val="0"/>
        </w:rPr>
        <w:t xml:space="preserve">, consoante corrobora a documentação anexa.</w:t>
      </w:r>
    </w:p>
    <w:p w:rsidR="00000000" w:rsidDel="00000000" w:rsidP="00000000" w:rsidRDefault="00000000" w:rsidRPr="00000000" w14:paraId="00000059">
      <w:pPr>
        <w:spacing w:after="120" w:before="60" w:line="276"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Para fins de ilustração, a linha do tempo abaixo demonstra de forma cristalina o curso do crédito tributário discutido e a ocorrência da decadência: </w:t>
      </w:r>
    </w:p>
    <w:p w:rsidR="00000000" w:rsidDel="00000000" w:rsidP="00000000" w:rsidRDefault="00000000" w:rsidRPr="00000000" w14:paraId="0000005A">
      <w:pPr>
        <w:spacing w:after="120" w:before="60" w:line="276" w:lineRule="auto"/>
        <w:jc w:val="both"/>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5B">
      <w:pPr>
        <w:spacing w:after="120" w:before="60" w:line="276" w:lineRule="auto"/>
        <w:jc w:val="both"/>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5C">
      <w:pPr>
        <w:jc w:val="both"/>
        <w:rPr>
          <w:rFonts w:ascii="Quattrocento Sans" w:cs="Quattrocento Sans" w:eastAsia="Quattrocento Sans" w:hAnsi="Quattrocento Sans"/>
          <w:b w:val="1"/>
          <w:bCs w:val="1"/>
        </w:rPr>
      </w:pPr>
      <w:r w:rsidDel="00000000" w:rsidR="00000000" w:rsidRPr="00000000">
        <w:rPr>
          <w:rtl w:val="0"/>
        </w:rPr>
      </w:r>
    </w:p>
    <w:tbl>
      <w:tblPr>
        <w:tblW w:w="9000" w:type="dxa"/>
        <w:jc w:val="left"/>
        <w:tblBorders>
          <w:top w:val="single" w:sz="1" w:space="0" w:color="d1d5db"/>
          <w:left w:val="single" w:sz="1" w:space="0" w:color="d1d5db"/>
          <w:bottom w:val="single" w:sz="1" w:space="0" w:color="d1d5db"/>
          <w:right w:val="single" w:sz="1" w:space="0" w:color="d1d5db"/>
          <w:insideH w:val="single" w:sz="1" w:space="0" w:color="d1d5db"/>
          <w:insideV w:val="single" w:sz="1" w:space="0" w:color="d1d5db"/>
        </w:tblBorders>
        <w:tblLayout w:type="fixed"/>
        <w:tblLook w:val="0000"/>
      </w:tblPr>
      <w:tblGrid>
        <w:gridCol w:w="1500"/>
        <w:gridCol w:w="4500"/>
        <w:gridCol w:w="3000"/>
      </w:tblGrid>
      <w:tr>
        <w:trPr>
          <w:cantSplit/>
          <w:tblHeader/>
        </w:trPr>
        <w:tc>
          <w:tcPr>
            <w:tcW w:w="1500" w:type="dxa"/>
            <w:tcBorders>
              <w:top w:val="single" w:sz="4" w:space="0" w:color="d1d5db"/>
              <w:left w:val="single" w:sz="4" w:space="0" w:color="d1d5db"/>
              <w:bottom w:val="single" w:sz="4" w:space="0" w:color="d1d5db"/>
              <w:right w:val="single" w:sz="4" w:space="0" w:color="d1d5db"/>
            </w:tcBorders>
            <w:shd w:val="clear" w:color="auto" w:fill="e5e7eb"/>
            <w:tcMar>
              <w:top w:w="115" w:type="dxa"/>
              <w:left w:w="144" w:type="dxa"/>
              <w:bottom w:w="115" w:type="dxa"/>
              <w:right w:w="144" w:type="dxa"/>
            </w:tcMar>
          </w:tcPr>
          <w:p>
            <w:pPr>
              <w:spacing w:before="60" w:after="60" w:line="276" w:lineRule="auto"/>
              <w:jc w:val="center"/>
            </w:pPr>
            <w:r>
              <w:rPr>
                <w:rFonts w:ascii="Quattrocento Sans" w:hAnsi="Quattrocento Sans" w:cs="Quattrocento Sans"/>
                <w:b/>
                <w:bCs/>
                <w:sz w:val="24"/>
                <w:szCs w:val="24"/>
              </w:rPr>
              <w:t xml:space="preserve">Data</w:t>
            </w:r>
          </w:p>
        </w:tc>
        <w:tc>
          <w:tcPr>
            <w:tcW w:w="4500" w:type="dxa"/>
            <w:tcBorders>
              <w:top w:val="single" w:sz="4" w:space="0" w:color="d1d5db"/>
              <w:left w:val="single" w:sz="4" w:space="0" w:color="d1d5db"/>
              <w:bottom w:val="single" w:sz="4" w:space="0" w:color="d1d5db"/>
              <w:right w:val="single" w:sz="4" w:space="0" w:color="d1d5db"/>
            </w:tcBorders>
            <w:shd w:val="clear" w:color="auto" w:fill="e5e7eb"/>
            <w:tcMar>
              <w:top w:w="115" w:type="dxa"/>
              <w:left w:w="144" w:type="dxa"/>
              <w:bottom w:w="115" w:type="dxa"/>
              <w:right w:w="144" w:type="dxa"/>
            </w:tcMar>
          </w:tcPr>
          <w:p>
            <w:pPr>
              <w:spacing w:before="60" w:after="60" w:line="276" w:lineRule="auto"/>
              <w:jc w:val="center"/>
            </w:pPr>
            <w:r>
              <w:rPr>
                <w:rFonts w:ascii="Quattrocento Sans" w:hAnsi="Quattrocento Sans" w:cs="Quattrocento Sans"/>
                <w:b/>
                <w:bCs/>
                <w:sz w:val="24"/>
                <w:szCs w:val="24"/>
              </w:rPr>
              <w:t xml:space="preserve">Evento</w:t>
            </w:r>
          </w:p>
        </w:tc>
        <w:tc>
          <w:tcPr>
            <w:tcW w:w="3000" w:type="dxa"/>
            <w:tcBorders>
              <w:top w:val="single" w:sz="4" w:space="0" w:color="d1d5db"/>
              <w:left w:val="single" w:sz="4" w:space="0" w:color="d1d5db"/>
              <w:bottom w:val="single" w:sz="4" w:space="0" w:color="d1d5db"/>
              <w:right w:val="single" w:sz="4" w:space="0" w:color="d1d5db"/>
            </w:tcBorders>
            <w:shd w:val="clear" w:color="auto" w:fill="e5e7eb"/>
            <w:tcMar>
              <w:top w:w="115" w:type="dxa"/>
              <w:left w:w="144" w:type="dxa"/>
              <w:bottom w:w="115" w:type="dxa"/>
              <w:right w:w="144" w:type="dxa"/>
            </w:tcMar>
          </w:tcPr>
          <w:p>
            <w:pPr>
              <w:spacing w:before="60" w:after="60" w:line="276" w:lineRule="auto"/>
              <w:jc w:val="center"/>
            </w:pPr>
            <w:r>
              <w:rPr>
                <w:rFonts w:ascii="Quattrocento Sans" w:hAnsi="Quattrocento Sans" w:cs="Quattrocento Sans"/>
                <w:b/>
                <w:bCs/>
                <w:sz w:val="24"/>
                <w:szCs w:val="24"/>
              </w:rPr>
              <w:t xml:space="preserve">Documento-fonte</w:t>
            </w:r>
          </w:p>
        </w:tc>
      </w:tr>
      <w:tr>
        <w:trPr>
          <w:cantSplit/>
        </w:trPr>
        <w:tc>
          <w:tcPr>
            <w:tcW w:w="1500" w:type="dxa"/>
            <w:tcBorders>
              <w:top w:val="single" w:sz="4" w:space="0" w:color="d1d5db"/>
              <w:left w:val="single" w:sz="4" w:space="0" w:color="d1d5db"/>
              <w:bottom w:val="single" w:sz="4" w:space="0" w:color="d1d5db"/>
              <w:right w:val="single" w:sz="4" w:space="0" w:color="d1d5db"/>
            </w:tcBorders>
            <w:tcMar>
              <w:top w:w="115" w:type="dxa"/>
              <w:left w:w="144" w:type="dxa"/>
              <w:bottom w:w="115" w:type="dxa"/>
              <w:right w:w="144" w:type="dxa"/>
            </w:tcMar>
          </w:tcPr>
          <w:p>
            <w:pPr>
              <w:spacing w:before="60" w:after="60" w:line="276" w:lineRule="auto"/>
            </w:pPr>
            <w:r>
              <w:rPr>
                <w:rFonts w:ascii="Quattrocento Sans" w:hAnsi="Quattrocento Sans" w:cs="Quattrocento Sans"/>
                <w:sz w:val="24"/>
                <w:szCs w:val="24"/>
              </w:rPr>
              <w:t xml:space="preserve">+++FOR m IN linha_do_tempo+++</w:t>
            </w:r>
          </w:p>
        </w:tc>
        <w:tc>
          <w:tcPr>
            <w:tcW w:w="4500" w:type="dxa"/>
            <w:tcBorders>
              <w:top w:val="single" w:sz="4" w:space="0" w:color="d1d5db"/>
              <w:left w:val="single" w:sz="4" w:space="0" w:color="d1d5db"/>
              <w:bottom w:val="single" w:sz="4" w:space="0" w:color="d1d5db"/>
              <w:right w:val="single" w:sz="4" w:space="0" w:color="d1d5db"/>
            </w:tcBorders>
            <w:tcMar>
              <w:top w:w="115" w:type="dxa"/>
              <w:left w:w="144" w:type="dxa"/>
              <w:bottom w:w="115" w:type="dxa"/>
              <w:right w:w="144" w:type="dxa"/>
            </w:tcMar>
          </w:tcPr>
          <w:p>
            <w:pPr>
              <w:spacing w:before="60" w:after="60" w:line="276" w:lineRule="auto"/>
            </w:pPr>
            <w:r>
              <w:rPr>
                <w:rFonts w:ascii="Quattrocento Sans" w:hAnsi="Quattrocento Sans" w:cs="Quattrocento Sans"/>
                <w:sz w:val="24"/>
                <w:szCs w:val="24"/>
              </w:rPr>
              <w:t xml:space="preserve"/>
            </w:r>
          </w:p>
        </w:tc>
        <w:tc>
          <w:tcPr>
            <w:tcW w:w="3000" w:type="dxa"/>
            <w:tcBorders>
              <w:top w:val="single" w:sz="4" w:space="0" w:color="d1d5db"/>
              <w:left w:val="single" w:sz="4" w:space="0" w:color="d1d5db"/>
              <w:bottom w:val="single" w:sz="4" w:space="0" w:color="d1d5db"/>
              <w:right w:val="single" w:sz="4" w:space="0" w:color="d1d5db"/>
            </w:tcBorders>
            <w:tcMar>
              <w:top w:w="115" w:type="dxa"/>
              <w:left w:w="144" w:type="dxa"/>
              <w:bottom w:w="115" w:type="dxa"/>
              <w:right w:w="144" w:type="dxa"/>
            </w:tcMar>
          </w:tcPr>
          <w:p>
            <w:pPr>
              <w:spacing w:before="60" w:after="60" w:line="276" w:lineRule="auto"/>
            </w:pPr>
            <w:r>
              <w:rPr>
                <w:rFonts w:ascii="Quattrocento Sans" w:hAnsi="Quattrocento Sans" w:cs="Quattrocento Sans"/>
                <w:sz w:val="24"/>
                <w:szCs w:val="24"/>
              </w:rPr>
              <w:t xml:space="preserve"/>
            </w:r>
          </w:p>
        </w:tc>
      </w:tr>
      <w:tr>
        <w:trPr>
          <w:cantSplit/>
        </w:trPr>
        <w:tc>
          <w:tcPr>
            <w:tcW w:w="1500" w:type="dxa"/>
            <w:tcBorders>
              <w:top w:val="single" w:sz="4" w:space="0" w:color="d1d5db"/>
              <w:left w:val="single" w:sz="4" w:space="0" w:color="d1d5db"/>
              <w:bottom w:val="single" w:sz="4" w:space="0" w:color="d1d5db"/>
              <w:right w:val="single" w:sz="4" w:space="0" w:color="d1d5db"/>
            </w:tcBorders>
            <w:tcMar>
              <w:top w:w="115" w:type="dxa"/>
              <w:left w:w="144" w:type="dxa"/>
              <w:bottom w:w="115" w:type="dxa"/>
              <w:right w:w="144" w:type="dxa"/>
            </w:tcMar>
          </w:tcPr>
          <w:p>
            <w:pPr>
              <w:spacing w:before="60" w:after="60" w:line="276" w:lineRule="auto"/>
            </w:pPr>
            <w:r>
              <w:rPr>
                <w:rFonts w:ascii="Quattrocento Sans" w:hAnsi="Quattrocento Sans" w:cs="Quattrocento Sans"/>
                <w:sz w:val="24"/>
                <w:szCs w:val="24"/>
              </w:rPr>
              <w:t xml:space="preserve">+++INS $m.data+++</w:t>
            </w:r>
          </w:p>
        </w:tc>
        <w:tc>
          <w:tcPr>
            <w:tcW w:w="4500" w:type="dxa"/>
            <w:tcBorders>
              <w:top w:val="single" w:sz="4" w:space="0" w:color="d1d5db"/>
              <w:left w:val="single" w:sz="4" w:space="0" w:color="d1d5db"/>
              <w:bottom w:val="single" w:sz="4" w:space="0" w:color="d1d5db"/>
              <w:right w:val="single" w:sz="4" w:space="0" w:color="d1d5db"/>
            </w:tcBorders>
            <w:tcMar>
              <w:top w:w="115" w:type="dxa"/>
              <w:left w:w="144" w:type="dxa"/>
              <w:bottom w:w="115" w:type="dxa"/>
              <w:right w:w="144" w:type="dxa"/>
            </w:tcMar>
          </w:tcPr>
          <w:p>
            <w:pPr>
              <w:spacing w:before="60" w:after="60" w:line="276" w:lineRule="auto"/>
            </w:pPr>
            <w:r>
              <w:rPr>
                <w:rFonts w:ascii="Quattrocento Sans" w:hAnsi="Quattrocento Sans" w:cs="Quattrocento Sans"/>
                <w:sz w:val="24"/>
                <w:szCs w:val="24"/>
              </w:rPr>
              <w:t xml:space="preserve">+++INS $m.evento+++</w:t>
            </w:r>
          </w:p>
        </w:tc>
        <w:tc>
          <w:tcPr>
            <w:tcW w:w="3000" w:type="dxa"/>
            <w:tcBorders>
              <w:top w:val="single" w:sz="4" w:space="0" w:color="d1d5db"/>
              <w:left w:val="single" w:sz="4" w:space="0" w:color="d1d5db"/>
              <w:bottom w:val="single" w:sz="4" w:space="0" w:color="d1d5db"/>
              <w:right w:val="single" w:sz="4" w:space="0" w:color="d1d5db"/>
            </w:tcBorders>
            <w:tcMar>
              <w:top w:w="115" w:type="dxa"/>
              <w:left w:w="144" w:type="dxa"/>
              <w:bottom w:w="115" w:type="dxa"/>
              <w:right w:w="144" w:type="dxa"/>
            </w:tcMar>
          </w:tcPr>
          <w:p>
            <w:pPr>
              <w:spacing w:before="60" w:after="60" w:line="276" w:lineRule="auto"/>
            </w:pPr>
            <w:r>
              <w:rPr>
                <w:rFonts w:ascii="Quattrocento Sans" w:hAnsi="Quattrocento Sans" w:cs="Quattrocento Sans"/>
                <w:sz w:val="24"/>
                <w:szCs w:val="24"/>
              </w:rPr>
              <w:t xml:space="preserve">+++INS $m.fonte+++</w:t>
            </w:r>
          </w:p>
        </w:tc>
      </w:tr>
      <w:tr>
        <w:trPr>
          <w:cantSplit/>
        </w:trPr>
        <w:tc>
          <w:tcPr>
            <w:tcW w:w="1500" w:type="dxa"/>
            <w:tcBorders>
              <w:top w:val="single" w:sz="4" w:space="0" w:color="d1d5db"/>
              <w:left w:val="single" w:sz="4" w:space="0" w:color="d1d5db"/>
              <w:bottom w:val="single" w:sz="4" w:space="0" w:color="d1d5db"/>
              <w:right w:val="single" w:sz="4" w:space="0" w:color="d1d5db"/>
            </w:tcBorders>
            <w:tcMar>
              <w:top w:w="115" w:type="dxa"/>
              <w:left w:w="144" w:type="dxa"/>
              <w:bottom w:w="115" w:type="dxa"/>
              <w:right w:w="144" w:type="dxa"/>
            </w:tcMar>
          </w:tcPr>
          <w:p>
            <w:pPr>
              <w:spacing w:before="60" w:after="60" w:line="276" w:lineRule="auto"/>
            </w:pPr>
            <w:r>
              <w:rPr>
                <w:rFonts w:ascii="Quattrocento Sans" w:hAnsi="Quattrocento Sans" w:cs="Quattrocento Sans"/>
                <w:sz w:val="24"/>
                <w:szCs w:val="24"/>
              </w:rPr>
              <w:t xml:space="preserve">+++END-FOR m+++</w:t>
            </w:r>
          </w:p>
        </w:tc>
        <w:tc>
          <w:tcPr>
            <w:tcW w:w="4500" w:type="dxa"/>
            <w:tcBorders>
              <w:top w:val="single" w:sz="4" w:space="0" w:color="d1d5db"/>
              <w:left w:val="single" w:sz="4" w:space="0" w:color="d1d5db"/>
              <w:bottom w:val="single" w:sz="4" w:space="0" w:color="d1d5db"/>
              <w:right w:val="single" w:sz="4" w:space="0" w:color="d1d5db"/>
            </w:tcBorders>
            <w:tcMar>
              <w:top w:w="115" w:type="dxa"/>
              <w:left w:w="144" w:type="dxa"/>
              <w:bottom w:w="115" w:type="dxa"/>
              <w:right w:w="144" w:type="dxa"/>
            </w:tcMar>
          </w:tcPr>
          <w:p>
            <w:pPr>
              <w:spacing w:before="60" w:after="60" w:line="276" w:lineRule="auto"/>
            </w:pPr>
            <w:r>
              <w:rPr>
                <w:rFonts w:ascii="Quattrocento Sans" w:hAnsi="Quattrocento Sans" w:cs="Quattrocento Sans"/>
                <w:sz w:val="24"/>
                <w:szCs w:val="24"/>
              </w:rPr>
              <w:t xml:space="preserve"/>
            </w:r>
          </w:p>
        </w:tc>
        <w:tc>
          <w:tcPr>
            <w:tcW w:w="3000" w:type="dxa"/>
            <w:tcBorders>
              <w:top w:val="single" w:sz="4" w:space="0" w:color="d1d5db"/>
              <w:left w:val="single" w:sz="4" w:space="0" w:color="d1d5db"/>
              <w:bottom w:val="single" w:sz="4" w:space="0" w:color="d1d5db"/>
              <w:right w:val="single" w:sz="4" w:space="0" w:color="d1d5db"/>
            </w:tcBorders>
            <w:tcMar>
              <w:top w:w="115" w:type="dxa"/>
              <w:left w:w="144" w:type="dxa"/>
              <w:bottom w:w="115" w:type="dxa"/>
              <w:right w:w="144" w:type="dxa"/>
            </w:tcMar>
          </w:tcPr>
          <w:p>
            <w:pPr>
              <w:spacing w:before="60" w:after="60" w:line="276" w:lineRule="auto"/>
            </w:pPr>
            <w:r>
              <w:rPr>
                <w:rFonts w:ascii="Quattrocento Sans" w:hAnsi="Quattrocento Sans" w:cs="Quattrocento Sans"/>
                <w:sz w:val="24"/>
                <w:szCs w:val="24"/>
              </w:rPr>
              <w:t xml:space="preserve"/>
            </w:r>
          </w:p>
        </w:tc>
      </w:tr>
    </w:tbl>
    <w:p w:rsidR="00000000" w:rsidDel="00000000" w:rsidP="00000000" w:rsidRDefault="00000000" w:rsidRPr="00000000" w14:paraId="0000005F">
      <w:pPr>
        <w:spacing w:after="120" w:before="60" w:line="276" w:lineRule="auto"/>
        <w:jc w:val="both"/>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60">
      <w:pPr>
        <w:spacing w:after="120" w:before="60" w:line="276" w:lineRule="auto"/>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61">
      <w:pPr>
        <w:spacing w:after="120" w:before="60" w:line="276"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Diante do exposto, não tendo o Fisco diligenciado a constituição do crédito dentro do prazo legal,</w:t>
      </w:r>
      <w:r w:rsidDel="00000000" w:rsidR="00000000" w:rsidRPr="00000000">
        <w:rPr>
          <w:rFonts w:ascii="Quattrocento Sans" w:cs="Quattrocento Sans" w:eastAsia="Quattrocento Sans" w:hAnsi="Quattrocento Sans"/>
          <w:b w:val="1"/>
          <w:bCs w:val="1"/>
          <w:rtl w:val="0"/>
        </w:rPr>
        <w:t xml:space="preserve"> incorreu em vício insanável ao promover a presente cobrança executiva, baseada em título que manifestamente padece dos atributos de certeza, liquidez e exigibilidade</w:t>
      </w:r>
      <w:r w:rsidDel="00000000" w:rsidR="00000000" w:rsidRPr="00000000">
        <w:rPr>
          <w:rFonts w:ascii="Quattrocento Sans" w:cs="Quattrocento Sans" w:eastAsia="Quattrocento Sans" w:hAnsi="Quattrocento Sans"/>
          <w:rtl w:val="0"/>
        </w:rPr>
        <w:t xml:space="preserve">.</w:t>
      </w:r>
    </w:p>
    <w:p w:rsidR="00000000" w:rsidDel="00000000" w:rsidP="00000000" w:rsidRDefault="00000000" w:rsidRPr="00000000" w14:paraId="00000062">
      <w:pPr>
        <w:spacing w:after="120" w:before="60" w:line="276"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É imperioso reconhecer a decadência, não apenas pelo lídimo direito do Executado, mas também para evitar que a inércia da Fazenda Pública resulte na proliferação de Execuções Fiscais inviáveis, sobrecarregando o acervo processual do Judiciário em detrimento da efetividade da Justiça e do postulado da razoável duração do processo.</w:t>
      </w:r>
    </w:p>
    <w:p w:rsidR="00000000" w:rsidDel="00000000" w:rsidP="00000000" w:rsidRDefault="00000000" w:rsidRPr="00000000" w14:paraId="00000063">
      <w:pPr>
        <w:jc w:val="both"/>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64">
      <w:pPr>
        <w:jc w:val="both"/>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DOS PEDIDOS</w:t>
      </w:r>
    </w:p>
    <w:p w:rsidR="00000000" w:rsidDel="00000000" w:rsidP="00000000" w:rsidRDefault="00000000" w:rsidRPr="00000000" w14:paraId="00000065">
      <w:pPr>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Isto posto, sobrestando a realização dos atos executivos enquanto não apreciada a presente postulação, requer a V.Exa. o recebimento dessa exceção de pré executividade, </w:t>
      </w:r>
      <w:r w:rsidDel="00000000" w:rsidR="00000000" w:rsidRPr="00000000">
        <w:rPr>
          <w:rFonts w:ascii="Quattrocento Sans" w:cs="Quattrocento Sans" w:eastAsia="Quattrocento Sans" w:hAnsi="Quattrocento Sans"/>
          <w:i w:val="1"/>
          <w:iCs w:val="1"/>
          <w:rtl w:val="0"/>
        </w:rPr>
        <w:t xml:space="preserve">inaudita altera pars</w:t>
      </w:r>
      <w:r w:rsidDel="00000000" w:rsidR="00000000" w:rsidRPr="00000000">
        <w:rPr>
          <w:rFonts w:ascii="Quattrocento Sans" w:cs="Quattrocento Sans" w:eastAsia="Quattrocento Sans" w:hAnsi="Quattrocento Sans"/>
          <w:rtl w:val="0"/>
        </w:rPr>
        <w:t xml:space="preserve">, para que seja determinada a imediata extinção da presente execução em face da executada +++INS executado_nome+++, reconhecendo-se que houve a ocorrência da decadência do crédito exequendo.</w:t>
      </w:r>
    </w:p>
    <w:p w:rsidR="00000000" w:rsidDel="00000000" w:rsidP="00000000" w:rsidRDefault="00000000" w:rsidRPr="00000000" w14:paraId="00000066">
      <w:pPr>
        <w:spacing w:after="0" w:lineRule="auto"/>
        <w:jc w:val="righ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Termos em que pede deferimento.</w:t>
      </w:r>
    </w:p>
    <w:p w:rsidR="00000000" w:rsidDel="00000000" w:rsidP="00000000" w:rsidRDefault="00000000" w:rsidRPr="00000000" w14:paraId="00000067">
      <w:pPr>
        <w:jc w:val="right"/>
        <w:rPr>
          <w:rFonts w:ascii="Quattrocento Sans" w:cs="Quattrocento Sans" w:eastAsia="Quattrocento Sans" w:hAnsi="Quattrocento Sans"/>
        </w:rPr>
      </w:pPr>
      <w:bookmarkStart w:colFirst="0" w:colLast="0" w:name="_heading=h.3dy6vkm" w:id="2"/>
      <w:bookmarkEnd w:id="2"/>
      <w:r w:rsidDel="00000000" w:rsidR="00000000" w:rsidRPr="00000000">
        <w:rPr>
          <w:rFonts w:ascii="Quattrocento Sans" w:cs="Quattrocento Sans" w:eastAsia="Quattrocento Sans" w:hAnsi="Quattrocento Sans"/>
          <w:rtl w:val="0"/>
        </w:rPr>
        <w:t xml:space="preserve">+++INS fecho_local_data+++</w:t>
      </w:r>
    </w:p>
    <w:p w:rsidR="00000000" w:rsidDel="00000000" w:rsidP="00000000" w:rsidRDefault="00000000" w:rsidRPr="00000000" w14:paraId="00000068">
      <w:pPr>
        <w:jc w:val="righ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6B">
      <w:pPr>
        <w:jc w:val="right"/>
        <w:rPr>
          <w:rFonts w:ascii="Quattrocento Sans" w:cs="Quattrocento Sans" w:eastAsia="Quattrocento Sans" w:hAnsi="Quattrocento Sans"/>
          <w:b w:val="1"/>
          <w:bCs w:val="1"/>
        </w:rPr>
      </w:pPr>
      <w:r w:rsidDel="00000000" w:rsidR="00000000" w:rsidRPr="00000000">
        <w:rPr>
          <w:rtl w:val="0"/>
        </w:rPr>
      </w:r>
    </w:p>
    <w:p>
      <w:r>
        <w:t>+++FOR a IN advogados+++</w:t>
      </w:r>
    </w:p>
    <w:p w:rsidR="00000000" w:rsidDel="00000000" w:rsidP="00000000" w:rsidRDefault="00000000" w:rsidRPr="00000000" w14:paraId="0000006C">
      <w:pPr>
        <w:tabs>
          <w:tab w:val="left" w:leader="none" w:pos="6384"/>
        </w:tabs>
        <w:spacing w:after="0" w:lineRule="auto"/>
        <w:ind w:left="720" w:firstLine="0"/>
        <w:jc w:val="right"/>
        <w:rPr>
          <w:rFonts w:ascii="Quattrocento Sans" w:cs="Quattrocento Sans" w:eastAsia="Quattrocento Sans" w:hAnsi="Quattrocento Sans"/>
          <w:b w:val="1"/>
          <w:bCs w:val="1"/>
          <w:color w:val="ffffff"/>
        </w:rPr>
      </w:pPr>
      <w:r w:rsidDel="00000000" w:rsidR="00000000" w:rsidRPr="00000000">
        <w:rPr>
          <w:rFonts w:ascii="Quattrocento Sans" w:cs="Quattrocento Sans" w:eastAsia="Quattrocento Sans" w:hAnsi="Quattrocento Sans"/>
          <w:b w:val="1"/>
          <w:bCs w:val="1"/>
          <w:color w:val="ffffff"/>
          <w:rtl w:val="0"/>
        </w:rPr>
        <w:t xml:space="preserve">+++INS $a.nome+++ | +++INS $a.oab+++</w:t>
      </w:r>
    </w:p>
    <w:p>
      <w:r>
        <w:t>+++END-FOR a+++</w:t>
      </w:r>
    </w:p>
    <w:p w:rsidR="00000000" w:rsidDel="00000000" w:rsidP="00000000" w:rsidRDefault="00000000" w:rsidRPr="00000000" w14:paraId="0000006A">
      <w:pPr>
        <w:jc w:val="righ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Documento assinado digitalmente</w:t>
      </w:r>
      <w:r w:rsidDel="00000000" w:rsidR="00000000" w:rsidRPr="00000000">
        <w:rPr>
          <w:rtl w:val="0"/>
        </w:rPr>
      </w:r>
    </w:p>
    <w:sectPr>
      <w:headerReference r:id="rId10" w:type="default"/>
      <w:headerReference r:id="rId11" w:type="first"/>
      <w:footerReference r:id="rId12" w:type="first"/>
      <w:pgSz w:h="16838" w:w="11906" w:orient="portrait"/>
      <w:pgMar w:bottom="835" w:top="1701" w:left="1701" w:right="1418" w:header="709"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ind w:left="-1701" w:firstLine="0"/>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-1079181</wp:posOffset>
              </wp:positionH>
              <wp:positionV relativeFrom="paragraph">
                <wp:posOffset>-774803</wp:posOffset>
              </wp:positionV>
              <wp:extent cx="7558331" cy="930600"/>
              <wp:effectExtent b="0" l="0" r="0" t="0"/>
              <wp:wrapNone/>
              <wp:docPr id="2061165508" name=""/>
              <a:graphic>
                <a:graphicData uri="http://schemas.microsoft.com/office/word/2010/wordprocessingShape">
                  <wps:wsp>
                    <wps:cNvSpPr/>
                    <wps:cNvPr id="3" name="Shape 3"/>
                    <wps:spPr>
                      <a:xfrm>
                        <a:off x="1571597" y="3319463"/>
                        <a:ext cx="7548806" cy="921075"/>
                      </a:xfrm>
                      <a:prstGeom prst="rect">
                        <a:avLst/>
                      </a:prstGeom>
                      <a:solidFill>
                        <a:srgbClr val="7B7B7B"/>
                      </a:solidFill>
                      <a:ln>
                        <a:noFill/>
                      </a:ln>
                    </wps:spPr>
                    <wps:txbx>
                      <w:txbxContent>
                        <w:p w:rsidR="00000000" w:rsidDel="00000000" w:rsidP="00000000" w:rsidRDefault="00000000" w:rsidRPr="00000000">
                          <w:pPr>
                            <w:spacing w:after="160" w:before="0" w:line="300"/>
                            <w:ind w:left="0" w:right="0" w:firstLine="0"/>
                            <w:jc w:val="center"/>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-1079181</wp:posOffset>
              </wp:positionH>
              <wp:positionV relativeFrom="paragraph">
                <wp:posOffset>-774803</wp:posOffset>
              </wp:positionV>
              <wp:extent cx="7558331" cy="930600"/>
              <wp:effectExtent b="0" l="0" r="0" t="0"/>
              <wp:wrapNone/>
              <wp:docPr id="2061165508" name="image6.png"/>
              <a:graphic>
                <a:graphicData uri="http://schemas.openxmlformats.org/drawingml/2006/picture">
                  <pic:pic>
                    <pic:nvPicPr>
                      <pic:cNvPr id="0" name="image6.png"/>
                      <pic:cNvPicPr preferRelativeResize="0"/>
                    </pic:nvPicPr>
                    <pic:blipFill>
                      <a:blip r:embed="rId3"/>
                      <a:srcRect/>
                      <a:stretch>
                        <a:fillRect/>
                      </a:stretch>
                    </pic:blipFill>
                    <pic:spPr>
                      <a:xfrm>
                        <a:off x="0" y="0"/>
                        <a:ext cx="7558331" cy="9306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-415394</wp:posOffset>
              </wp:positionH>
              <wp:positionV relativeFrom="paragraph">
                <wp:posOffset>-569276</wp:posOffset>
              </wp:positionV>
              <wp:extent cx="2205420" cy="556830"/>
              <wp:effectExtent b="0" l="0" r="0" t="0"/>
              <wp:wrapNone/>
              <wp:docPr id="2061165516" name=""/>
              <a:graphic>
                <a:graphicData uri="http://schemas.microsoft.com/office/word/2010/wordprocessingShape">
                  <wps:wsp>
                    <wps:cNvSpPr/>
                    <wps:cNvPr id="26" name="Shape 26"/>
                    <wps:spPr>
                      <a:xfrm>
                        <a:off x="4248053" y="3506348"/>
                        <a:ext cx="2195895" cy="547305"/>
                      </a:xfrm>
                      <a:prstGeom prst="rect">
                        <a:avLst/>
                      </a:prstGeom>
                      <a:noFill/>
                      <a:ln>
                        <a:noFill/>
                      </a:ln>
                    </wps:spPr>
                    <wps:txbx>
                      <w:txbxContent>
                        <w:p w:rsidR="00000000" w:rsidDel="00000000" w:rsidP="00000000" w:rsidRDefault="00000000" w:rsidRPr="00000000">
                          <w:pPr>
                            <w:spacing w:after="0" w:before="0" w:line="300"/>
                            <w:ind w:left="0" w:right="0" w:firstLine="0"/>
                            <w:jc w:val="center"/>
                            <w:textDirection w:val="btLr"/>
                          </w:pPr>
                          <w:r w:rsidDel="00000000" w:rsidR="00000000" w:rsidRPr="00000000">
                            <w:rPr>
                              <w:rFonts w:ascii="Quicksand" w:cs="Quicksand" w:eastAsia="Quicksand" w:hAnsi="Quicksand"/>
                              <w:b w:val="0"/>
                              <w:i w:val="0"/>
                              <w:smallCaps w:val="0"/>
                              <w:strike w:val="0"/>
                              <w:color w:val="ffffff"/>
                              <w:sz w:val="18"/>
                              <w:vertAlign w:val="baseline"/>
                            </w:rPr>
                            <w:t xml:space="preserve">+++INS escritorio_email+++</w:t>
                          </w:r>
                        </w:p>
                        <w:p w:rsidR="00000000" w:rsidDel="00000000" w:rsidP="00000000" w:rsidRDefault="00000000" w:rsidRPr="00000000">
                          <w:pPr>
                            <w:spacing w:after="0" w:before="0" w:line="300"/>
                            <w:ind w:left="0" w:right="0" w:firstLine="0"/>
                            <w:jc w:val="center"/>
                            <w:textDirection w:val="btLr"/>
                          </w:pPr>
                          <w:r w:rsidDel="00000000" w:rsidR="00000000" w:rsidRPr="00000000">
                            <w:rPr>
                              <w:rFonts w:ascii="Quicksand" w:cs="Quicksand" w:eastAsia="Quicksand" w:hAnsi="Quicksand"/>
                              <w:b w:val="0"/>
                              <w:i w:val="0"/>
                              <w:smallCaps w:val="0"/>
                              <w:strike w:val="0"/>
                              <w:color w:val="ffffff"/>
                              <w:sz w:val="18"/>
                              <w:vertAlign w:val="baseline"/>
                            </w:rPr>
                          </w:r>
                          <w:r w:rsidDel="00000000" w:rsidR="00000000" w:rsidRPr="00000000">
                            <w:rPr>
                              <w:rFonts w:ascii="Quicksand" w:cs="Quicksand" w:eastAsia="Quicksand" w:hAnsi="Quicksand"/>
                              <w:b w:val="0"/>
                              <w:i w:val="0"/>
                              <w:smallCaps w:val="0"/>
                              <w:strike w:val="0"/>
                              <w:color w:val="ffffff"/>
                              <w:sz w:val="18"/>
                              <w:vertAlign w:val="baseline"/>
                            </w:rPr>
                            <w:t xml:space="preserve">+++INS escritorio_site+++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-415394</wp:posOffset>
              </wp:positionH>
              <wp:positionV relativeFrom="paragraph">
                <wp:posOffset>-569276</wp:posOffset>
              </wp:positionV>
              <wp:extent cx="2205420" cy="556830"/>
              <wp:effectExtent b="0" l="0" r="0" t="0"/>
              <wp:wrapNone/>
              <wp:docPr id="2061165516" name="image14.png"/>
              <a:graphic>
                <a:graphicData uri="http://schemas.openxmlformats.org/drawingml/2006/picture">
                  <pic:pic>
                    <pic:nvPicPr>
                      <pic:cNvPr id="0" name="image14.png"/>
                      <pic:cNvPicPr preferRelativeResize="0"/>
                    </pic:nvPicPr>
                    <pic:blipFill>
                      <a:blip r:embed="rId3"/>
                      <a:srcRect/>
                      <a:stretch>
                        <a:fillRect/>
                      </a:stretch>
                    </pic:blipFill>
                    <pic:spPr>
                      <a:xfrm>
                        <a:off x="0" y="0"/>
                        <a:ext cx="2205420" cy="5568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3394392</wp:posOffset>
              </wp:positionH>
              <wp:positionV relativeFrom="paragraph">
                <wp:posOffset>-493076</wp:posOffset>
              </wp:positionV>
              <wp:extent cx="2205420" cy="556830"/>
              <wp:effectExtent b="0" l="0" r="0" t="0"/>
              <wp:wrapNone/>
              <wp:docPr id="2061165511" name=""/>
              <a:graphic>
                <a:graphicData uri="http://schemas.microsoft.com/office/word/2010/wordprocessingShape">
                  <wps:wsp>
                    <wps:cNvSpPr/>
                    <wps:cNvPr id="21" name="Shape 21"/>
                    <wps:spPr>
                      <a:xfrm>
                        <a:off x="4248053" y="3506348"/>
                        <a:ext cx="2195895" cy="547305"/>
                      </a:xfrm>
                      <a:prstGeom prst="rect">
                        <a:avLst/>
                      </a:prstGeom>
                      <a:noFill/>
                      <a:ln>
                        <a:noFill/>
                      </a:ln>
                    </wps:spPr>
                    <wps:txbx>
                      <w:txbxContent>
                        <w:p w:rsidR="00000000" w:rsidDel="00000000" w:rsidP="00000000" w:rsidRDefault="00000000" w:rsidRPr="00000000">
                          <w:pPr>
                            <w:spacing w:after="0" w:before="0" w:line="300"/>
                            <w:ind w:left="0" w:right="0" w:firstLine="0"/>
                            <w:jc w:val="center"/>
                            <w:textDirection w:val="btLr"/>
                          </w:pPr>
                          <w:r w:rsidDel="00000000" w:rsidR="00000000" w:rsidRPr="00000000">
                            <w:rPr>
                              <w:rFonts w:ascii="Quicksand" w:cs="Quicksand" w:eastAsia="Quicksand" w:hAnsi="Quicksand"/>
                              <w:b w:val="0"/>
                              <w:i w:val="0"/>
                              <w:smallCaps w:val="0"/>
                              <w:strike w:val="0"/>
                              <w:color w:val="ffffff"/>
                              <w:sz w:val="18"/>
                              <w:vertAlign w:val="baseline"/>
                            </w:rPr>
                            <w:t xml:space="preserve">+++INS escritorio_endereco+++</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3394392</wp:posOffset>
              </wp:positionH>
              <wp:positionV relativeFrom="paragraph">
                <wp:posOffset>-493076</wp:posOffset>
              </wp:positionV>
              <wp:extent cx="2205420" cy="556830"/>
              <wp:effectExtent b="0" l="0" r="0" t="0"/>
              <wp:wrapNone/>
              <wp:docPr id="2061165511" name="image9.png"/>
              <a:graphic>
                <a:graphicData uri="http://schemas.openxmlformats.org/drawingml/2006/picture">
                  <pic:pic>
                    <pic:nvPicPr>
                      <pic:cNvPr id="0" name="image9.png"/>
                      <pic:cNvPicPr preferRelativeResize="0"/>
                    </pic:nvPicPr>
                    <pic:blipFill>
                      <a:blip r:embed="rId3"/>
                      <a:srcRect/>
                      <a:stretch>
                        <a:fillRect/>
                      </a:stretch>
                    </pic:blipFill>
                    <pic:spPr>
                      <a:xfrm>
                        <a:off x="0" y="0"/>
                        <a:ext cx="2205420" cy="55683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
      <w:t>+++IF tem_logo+++</w:t>
    </w:r>
  </w:p>
  <w:p>
    <w:pPr>
      <w:pBdr>
        <w:top w:space="0" w:sz="0" w:val="nil"/>
        <w:left w:space="0" w:sz="0" w:val="nil"/>
        <w:bottom w:space="0" w:sz="0" w:val="nil"/>
        <w:right w:space="0" w:sz="0" w:val="nil"/>
        <w:between w:space="0" w:sz="0" w:val="nil"/>
      </w:pBdr>
      <w:tabs>
        <w:tab w:val="center" w:leader="none" w:pos="4252"/>
        <w:tab w:val="right" w:leader="none" w:pos="8504"/>
      </w:tabs>
      <w:spacing w:after="360" w:line="240" w:lineRule="auto"/>
      <w:jc w:val="right"/>
      <w:rPr>
        <w:color w:val="000000"/>
      </w:rPr>
    </w:pPr>
    <w:r>
      <w:t>+++IMAGE logo()+++</w:t>
    </w:r>
  </w:p>
  <w:p>
    <w:r>
      <w:t>+++END-IF+++</w:t>
    </w:r>
  </w:p>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
      <w:t>+++IF tem_logo+++</w:t>
    </w:r>
  </w:p>
  <w:p>
    <w:pPr>
      <w:pBdr>
        <w:top w:space="0" w:sz="0" w:val="nil"/>
        <w:left w:space="0" w:sz="0" w:val="nil"/>
        <w:bottom w:space="0" w:sz="0" w:val="nil"/>
        <w:right w:space="0" w:sz="0" w:val="nil"/>
        <w:between w:space="0" w:sz="0" w:val="nil"/>
      </w:pBdr>
      <w:tabs>
        <w:tab w:val="center" w:leader="none" w:pos="4252"/>
        <w:tab w:val="right" w:leader="none" w:pos="8504"/>
      </w:tabs>
      <w:spacing w:after="360" w:line="240" w:lineRule="auto"/>
      <w:jc w:val="center"/>
      <w:rPr>
        <w:color w:val="000000"/>
      </w:rPr>
    </w:pPr>
    <w:r>
      <w:t>+++IMAGE logo()+++</w:t>
    </w:r>
  </w:p>
  <w:p>
    <w:r>
      <w:t>+++END-IF+++</w:t>
    </w:r>
  </w:p>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NormalWeb">
    <w:name w:val="Normal (Web)"/>
    <w:basedOn w:val="Normal"/>
    <w:uiPriority w:val="99"/>
    <w:semiHidden w:val="1"/>
    <w:unhideWhenUsed w:val="1"/>
    <w:rsid w:val="00BC73A0"/>
    <w:pPr>
      <w:spacing w:after="100" w:afterAutospacing="1" w:before="100" w:beforeAutospacing="1" w:line="240" w:lineRule="auto"/>
    </w:pPr>
    <w:rPr>
      <w:rFonts w:ascii="Times New Roman" w:cs="Times New Roman" w:eastAsia="Times New Roman" w:hAnsi="Times New Roman"/>
      <w:sz w:val="24"/>
      <w:szCs w:val="24"/>
    </w:rPr>
  </w:style>
  <w:style w:type="paragraph" w:styleId="Cabealho">
    <w:name w:val="header"/>
    <w:basedOn w:val="Normal"/>
    <w:link w:val="CabealhoChar"/>
    <w:uiPriority w:val="99"/>
    <w:unhideWhenUsed w:val="1"/>
    <w:rsid w:val="00CF660C"/>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CF660C"/>
  </w:style>
  <w:style w:type="paragraph" w:styleId="Rodap">
    <w:name w:val="footer"/>
    <w:basedOn w:val="Normal"/>
    <w:link w:val="RodapChar"/>
    <w:uiPriority w:val="99"/>
    <w:unhideWhenUsed w:val="1"/>
    <w:rsid w:val="00CF660C"/>
    <w:pPr>
      <w:tabs>
        <w:tab w:val="center" w:pos="4252"/>
        <w:tab w:val="right" w:pos="8504"/>
      </w:tabs>
      <w:spacing w:after="0" w:line="240" w:lineRule="auto"/>
    </w:pPr>
  </w:style>
  <w:style w:type="character" w:styleId="RodapChar" w:customStyle="1">
    <w:name w:val="Rodapé Char"/>
    <w:basedOn w:val="Fontepargpadro"/>
    <w:link w:val="Rodap"/>
    <w:uiPriority w:val="99"/>
    <w:rsid w:val="00CF660C"/>
  </w:style>
  <w:style w:type="character" w:styleId="TextodoEspaoReservado">
    <w:name w:val="Placeholder Text"/>
    <w:basedOn w:val="Fontepargpadro"/>
    <w:uiPriority w:val="99"/>
    <w:semiHidden w:val="1"/>
    <w:rsid w:val="00987ECD"/>
    <w:rPr>
      <w:color w:val="808080"/>
    </w:rPr>
  </w:style>
  <w:style w:type="paragraph" w:styleId="PargrafodaLista">
    <w:name w:val="List Paragraph"/>
    <w:basedOn w:val="Normal"/>
    <w:uiPriority w:val="34"/>
    <w:qFormat w:val="1"/>
    <w:rsid w:val="00CB36D5"/>
    <w:pPr>
      <w:ind w:left="720"/>
      <w:contextualSpacing w:val="1"/>
    </w:pPr>
  </w:style>
  <w:style w:type="character" w:styleId="Hyperlink">
    <w:name w:val="Hyperlink"/>
    <w:basedOn w:val="Fontepargpadro"/>
    <w:uiPriority w:val="99"/>
    <w:unhideWhenUsed w:val="1"/>
    <w:rsid w:val="0031629C"/>
    <w:rPr>
      <w:color w:val="0563c1" w:themeColor="hyperlink"/>
      <w:u w:val="single"/>
    </w:rPr>
  </w:style>
  <w:style w:type="character" w:styleId="MenoPendente">
    <w:name w:val="Unresolved Mention"/>
    <w:basedOn w:val="Fontepargpadro"/>
    <w:uiPriority w:val="99"/>
    <w:semiHidden w:val="1"/>
    <w:unhideWhenUsed w:val="1"/>
    <w:rsid w:val="0031629C"/>
    <w:rPr>
      <w:color w:val="605e5c"/>
      <w:shd w:color="auto" w:fill="e1dfdd" w:val="clear"/>
    </w:rPr>
  </w:style>
  <w:style w:type="paragraph" w:styleId="Textodebalo">
    <w:name w:val="Balloon Text"/>
    <w:basedOn w:val="Normal"/>
    <w:link w:val="TextodebaloChar"/>
    <w:uiPriority w:val="99"/>
    <w:semiHidden w:val="1"/>
    <w:unhideWhenUsed w:val="1"/>
    <w:rsid w:val="00457AC6"/>
    <w:pPr>
      <w:spacing w:after="0" w:line="240" w:lineRule="auto"/>
    </w:pPr>
    <w:rPr>
      <w:rFonts w:ascii="Segoe UI" w:cs="Segoe UI" w:hAnsi="Segoe UI"/>
      <w:sz w:val="18"/>
      <w:szCs w:val="18"/>
    </w:rPr>
  </w:style>
  <w:style w:type="character" w:styleId="TextodebaloChar" w:customStyle="1">
    <w:name w:val="Texto de balão Char"/>
    <w:basedOn w:val="Fontepargpadro"/>
    <w:link w:val="Textodebalo"/>
    <w:uiPriority w:val="99"/>
    <w:semiHidden w:val="1"/>
    <w:rsid w:val="00457AC6"/>
    <w:rPr>
      <w:rFonts w:ascii="Segoe UI" w:cs="Segoe UI" w:hAnsi="Segoe UI"/>
      <w:sz w:val="18"/>
      <w:szCs w:val="18"/>
    </w:rPr>
  </w:style>
  <w:style w:type="paragraph" w:styleId="Legenda">
    <w:name w:val="caption"/>
    <w:basedOn w:val="Normal"/>
    <w:next w:val="Normal"/>
    <w:uiPriority w:val="35"/>
    <w:unhideWhenUsed w:val="1"/>
    <w:qFormat w:val="1"/>
    <w:rsid w:val="00D32A21"/>
    <w:pPr>
      <w:spacing w:after="200" w:line="240" w:lineRule="auto"/>
    </w:pPr>
    <w:rPr>
      <w:i w:val="1"/>
      <w:iCs w:val="1"/>
      <w:color w:val="44546a" w:themeColor="text2"/>
      <w:sz w:val="18"/>
      <w:szCs w:val="18"/>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 Id="rId3" Type="http://schemas.openxmlformats.org/officeDocument/2006/relationships/theme" Target="theme/theme1.xml"/><Relationship Id="rId4" Type="http://schemas.openxmlformats.org/officeDocument/2006/relationships/settings" Target="settings.xml"/><Relationship Id="rId11" Type="http://schemas.openxmlformats.org/officeDocument/2006/relationships/header" Target="header2.xml"/><Relationship Id="rId10" Type="http://schemas.openxmlformats.org/officeDocument/2006/relationships/header" Target="header1.xml"/><Relationship Id="rId12" Type="http://schemas.openxmlformats.org/officeDocument/2006/relationships/footer" Target="footer1.xml"/><Relationship Id="rId9" Type="http://schemas.openxmlformats.org/officeDocument/2006/relationships/image" Target="media/image6.png"/><Relationship Id="rId5" Type="http://schemas.openxmlformats.org/officeDocument/2006/relationships/fontTable" Target="fontTable.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s>
</file>

<file path=word/_rels/footer1.xml.rels><?xml version="1.0" encoding="UTF-8" standalone="yes"?><Relationships xmlns="http://schemas.openxmlformats.org/package/2006/relationships"><Relationship Id="rId3" Type="http://schemas.openxmlformats.org/officeDocument/2006/relationships/image" Target="media/image6.png"/></Relationships>
</file>

<file path=word/_rels/header1.xml.rels><?xml version='1.0' encoding='UTF-8' standalone='yes'?>
<Relationships xmlns="http://schemas.openxmlformats.org/package/2006/relationships"/>
</file>

<file path=word/_rels/header2.xml.rels><?xml version='1.0' encoding='UTF-8' standalone='yes'?>
<Relationships xmlns="http://schemas.openxmlformats.org/package/2006/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Zt/ZbMde3SNLX0HU65YcE0NyIw==">CgMxLjAaHwoBMBIaChgICVIUChJ0YWJsZS5mbWE2M2VybWo3emwaMAoBMRIrCikIB0IlChFRdWF0dHJvY2VudG8gU2FucxIQQXJpYWwgVW5pY29kZSBNUzIIaC5namRneHMyDmguZXM2OWhjcGpid3JhMgloLjNkeTZ2a204AHIhMTd6ejRDQ2dFUHB3VUdndGY5MVdGS3dMb25SZjdlemVB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2026-03-17T14:36:00Z</dcterms:created>
  <dc:creator>TributÁgil</dc:creator>
</cp:coreProperties>
</file>