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54"/>
        <w:ind w:firstLine="708"/>
        <w:rPr>
          <w:b/>
          <w:bCs/>
          <w14:ligatures w14:val="none"/>
        </w:rPr>
      </w:pPr>
      <w:r>
        <w:rPr>
          <w:b/>
          <w:bCs/>
        </w:rPr>
        <w:t xml:space="preserve">1 Установка </w:t>
      </w:r>
      <w:r>
        <w:rPr>
          <w:b/>
          <w:bCs/>
          <w:lang w:val="en-US"/>
        </w:rPr>
        <w:t xml:space="preserve">LaTeX</w:t>
      </w:r>
      <w:r>
        <w:rPr>
          <w:b/>
          <w:bCs/>
          <w:lang w:val="ru-RU"/>
        </w:rPr>
        <w:t xml:space="preserve"> и среды разработки</w:t>
      </w:r>
      <w:r>
        <w:rPr>
          <w:b/>
          <w:bCs/>
        </w:rPr>
      </w:r>
      <w:r>
        <w:rPr>
          <w:b/>
          <w:bCs/>
          <w14:ligatures w14:val="none"/>
        </w:rPr>
      </w:r>
    </w:p>
    <w:p>
      <w:pPr>
        <w:pStyle w:val="837"/>
        <w:jc w:val="both"/>
        <w:rPr>
          <w:highlight w:val="none"/>
          <w:lang w:val="ru-RU"/>
          <w14:ligatures w14:val="none"/>
        </w:rPr>
      </w:pPr>
      <w:r>
        <w:tab/>
      </w:r>
      <w:r>
        <w:rPr>
          <w:lang w:val="ru-RU"/>
        </w:rPr>
        <w:t xml:space="preserve">Так как исходное методическое пособие было реализовано с помощью </w:t>
      </w:r>
      <w:r>
        <w:rPr>
          <w:lang w:val="ru-RU"/>
        </w:rPr>
        <w:t xml:space="preserve">языка разметки </w:t>
      </w:r>
      <w:r>
        <w:rPr>
          <w:lang w:val="en-US"/>
        </w:rPr>
        <w:t xml:space="preserve">TeX/LaTex</w:t>
      </w:r>
      <w:r>
        <w:rPr>
          <w:lang w:val="ru-RU"/>
        </w:rPr>
        <w:t xml:space="preserve">, для внесения правок понадобится установить набор компиляторов для него.</w:t>
      </w:r>
      <w:r>
        <w:rPr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Наиболее удобный способ это сделать, установить дистрибутив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ru-RU"/>
        </w:rPr>
        <w:t xml:space="preserve"> с официального сайта (рисунок 1).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tbl>
      <w:tblPr>
        <w:tblStyle w:val="6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37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3314260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68970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3314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467.75pt;height:260.97pt;mso-wrap-distance-left:0.00pt;mso-wrap-distance-top:0.00pt;mso-wrap-distance-right:0.00pt;mso-wrap-distance-bottom:0.00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837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1 — официальный сайт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ru-RU"/>
        </w:rPr>
      </w:r>
      <w:r>
        <w:rPr>
          <w:highlight w:val="none"/>
          <w:lang w:val="en-US"/>
          <w14:ligatures w14:val="none"/>
        </w:rPr>
      </w:r>
    </w:p>
    <w:p>
      <w:pPr>
        <w:pStyle w:val="837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После запуска исполняемого файла программы-установщика, можно выбрать параметры установки, список которых приведен на рисунке 2.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center"/>
        <w:rPr>
          <w:highlight w:val="none"/>
          <w:lang w:val="ru-RU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6574" cy="271600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104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376574" cy="2716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3.35pt;height:213.8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 — выбор параметров установки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После этого установщик начнет выводить в лог список установленных пакетов (рисунок 3).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3285" cy="143367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948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243285" cy="143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55.38pt;height:112.8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 — прогресс установки пакетов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После этого компиляторы </w:t>
      </w:r>
      <w:r>
        <w:rPr>
          <w:highlight w:val="none"/>
          <w:lang w:val="en-US"/>
        </w:rPr>
        <w:t xml:space="preserve">LaTeX </w:t>
      </w:r>
      <w:r>
        <w:rPr>
          <w:highlight w:val="none"/>
          <w:lang w:val="ru-RU"/>
        </w:rPr>
        <w:t xml:space="preserve">можно запускать из консоли, однако для удобства была установлена среда разработки </w:t>
      </w:r>
      <w:r>
        <w:rPr>
          <w:highlight w:val="none"/>
          <w:lang w:val="en-US"/>
        </w:rPr>
        <w:t xml:space="preserve">TeXmaker. </w:t>
      </w:r>
      <w:r>
        <w:rPr>
          <w:highlight w:val="none"/>
          <w:lang w:val="ru-RU"/>
        </w:rPr>
        <w:t xml:space="preserve">Ее графический интерфейс приведен на рисунке 4.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both"/>
        <w:rPr>
          <w:highlight w:val="none"/>
          <w14:ligatures w14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989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707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79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66.1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14:ligatures w14:val="none"/>
        </w:rPr>
      </w:r>
    </w:p>
    <w:p>
      <w:pPr>
        <w:pStyle w:val="837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4 — интерфейс </w:t>
      </w:r>
      <w:r>
        <w:rPr>
          <w:highlight w:val="none"/>
          <w:lang w:val="en-US"/>
        </w:rPr>
        <w:t xml:space="preserve">LaTeX</w:t>
      </w:r>
      <w:r>
        <w:rPr>
          <w:highlight w:val="none"/>
          <w:lang w:val="en-US"/>
        </w:rPr>
      </w:r>
      <w:r>
        <w:rPr>
          <w:highlight w:val="none"/>
          <w:lang w:val="en-US"/>
          <w14:ligatures w14:val="none"/>
        </w:rPr>
      </w:r>
    </w:p>
    <w:p>
      <w:pPr>
        <w:pStyle w:val="837"/>
        <w:jc w:val="left"/>
        <w:rPr>
          <w:rStyle w:val="655"/>
          <w:highlight w:val="none"/>
          <w:lang w:val="en-US"/>
          <w14:ligatures w14:val="none"/>
        </w:rPr>
      </w:pPr>
      <w:r>
        <w:rPr>
          <w:highlight w:val="none"/>
          <w:lang w:val="en-US"/>
        </w:rPr>
        <w:tab/>
      </w:r>
      <w:r>
        <w:rPr>
          <w:rStyle w:val="655"/>
          <w:lang w:val="en-US"/>
        </w:rPr>
        <w:t xml:space="preserve">2 </w:t>
      </w:r>
      <w:r>
        <w:rPr>
          <w:rStyle w:val="655"/>
          <w:lang w:val="ru-RU"/>
        </w:rPr>
        <w:t xml:space="preserve">Синтаксис </w:t>
      </w:r>
      <w:r>
        <w:rPr>
          <w:rStyle w:val="655"/>
          <w:lang w:val="en-US"/>
        </w:rPr>
        <w:t xml:space="preserve">LaTeX</w:t>
      </w:r>
      <w:r>
        <w:rPr>
          <w:highlight w:val="none"/>
          <w:lang w:val="en-US"/>
        </w:rPr>
      </w:r>
      <w:r>
        <w:rPr>
          <w:rStyle w:val="655"/>
          <w:highlight w:val="none"/>
          <w:lang w:val="en-US"/>
          <w14:ligatures w14:val="none"/>
        </w:rPr>
      </w:r>
    </w:p>
    <w:p>
      <w:pPr>
        <w:pStyle w:val="837"/>
        <w:jc w:val="both"/>
        <w:rPr>
          <w:rStyle w:val="655"/>
          <w:b w:val="0"/>
          <w:bCs w:val="0"/>
          <w:highlight w:val="none"/>
          <w:lang w:val="ru-RU"/>
          <w14:ligatures w14:val="none"/>
        </w:rPr>
      </w:pPr>
      <w:r>
        <w:rPr>
          <w:rStyle w:val="655"/>
          <w:highlight w:val="none"/>
          <w:lang w:val="en-US"/>
        </w:rPr>
        <w:tab/>
      </w:r>
      <w:r>
        <w:rPr>
          <w:rStyle w:val="655"/>
          <w:b w:val="0"/>
          <w:bCs w:val="0"/>
          <w:highlight w:val="none"/>
          <w:lang w:val="ru-RU"/>
        </w:rPr>
        <w:t xml:space="preserve">Далее, перед тем как начать вносить правки непосредственно в методическое пособие, необходимо было ознакомиться с основами синтаксиса </w:t>
      </w:r>
      <w:r>
        <w:rPr>
          <w:rStyle w:val="655"/>
          <w:b w:val="0"/>
          <w:bCs w:val="0"/>
          <w:highlight w:val="none"/>
          <w:lang w:val="en-US"/>
        </w:rPr>
        <w:t xml:space="preserve">LaTeX</w:t>
      </w:r>
      <w:r>
        <w:rPr>
          <w:rStyle w:val="655"/>
          <w:b w:val="0"/>
          <w:bCs w:val="0"/>
          <w:highlight w:val="none"/>
          <w:lang w:val="ru-RU"/>
        </w:rPr>
        <w:t xml:space="preserve">.</w:t>
      </w:r>
      <w:r>
        <w:rPr>
          <w:b w:val="0"/>
          <w:bCs w:val="0"/>
          <w:highlight w:val="none"/>
          <w14:ligatures w14:val="none"/>
        </w:rPr>
      </w:r>
      <w:r>
        <w:rPr>
          <w:rStyle w:val="655"/>
          <w:b w:val="0"/>
          <w:bCs w:val="0"/>
          <w:highlight w:val="none"/>
          <w:lang w:val="ru-RU"/>
          <w14:ligatures w14:val="none"/>
        </w:rPr>
      </w:r>
    </w:p>
    <w:p>
      <w:pPr>
        <w:pStyle w:val="837"/>
        <w:jc w:val="both"/>
        <w:rPr>
          <w:rStyle w:val="655"/>
          <w:b w:val="0"/>
          <w:bCs w:val="0"/>
          <w:highlight w:val="none"/>
          <w:lang w:val="ru-RU"/>
          <w14:ligatures w14:val="none"/>
        </w:rPr>
      </w:pPr>
      <w:r>
        <w:rPr>
          <w:rStyle w:val="655"/>
          <w:b w:val="0"/>
          <w:bCs w:val="0"/>
          <w:highlight w:val="none"/>
          <w:lang w:val="ru-RU"/>
        </w:rPr>
        <w:tab/>
        <w:t xml:space="preserve">Код разметки и пример скомпилированного простейшего документа, описанного на </w:t>
      </w:r>
      <w:r>
        <w:rPr>
          <w:rStyle w:val="655"/>
          <w:b w:val="0"/>
          <w:bCs w:val="0"/>
          <w:highlight w:val="none"/>
          <w:lang w:val="en-US"/>
        </w:rPr>
        <w:t xml:space="preserve">LaTeX </w:t>
      </w:r>
      <w:r>
        <w:rPr>
          <w:rStyle w:val="655"/>
          <w:b w:val="0"/>
          <w:bCs w:val="0"/>
          <w:highlight w:val="none"/>
          <w:lang w:val="ru-RU"/>
        </w:rPr>
        <w:t xml:space="preserve">показаны в листинге 1 и на рисунке 5.</w:t>
      </w:r>
      <w:r>
        <w:rPr>
          <w:rStyle w:val="655"/>
          <w:b w:val="0"/>
          <w:bCs w:val="0"/>
          <w:highlight w:val="none"/>
          <w:lang w:val="ru-RU"/>
        </w:rPr>
      </w:r>
      <w:r>
        <w:rPr>
          <w:rStyle w:val="655"/>
          <w:b w:val="0"/>
          <w:bCs w:val="0"/>
          <w:highlight w:val="none"/>
          <w:lang w:val="ru-RU"/>
          <w14:ligatures w14:val="none"/>
        </w:rPr>
      </w:r>
    </w:p>
    <w:p>
      <w:pPr>
        <w:pStyle w:val="837"/>
        <w:jc w:val="both"/>
        <w:rPr>
          <w:rStyle w:val="655"/>
          <w:b w:val="0"/>
          <w:bCs w:val="0"/>
          <w:highlight w:val="none"/>
          <w:lang w:val="ru-RU"/>
          <w14:ligatures w14:val="none"/>
        </w:rPr>
      </w:pPr>
      <w:r>
        <w:rPr>
          <w:rStyle w:val="655"/>
          <w:b w:val="0"/>
          <w:bCs w:val="0"/>
          <w:highlight w:val="none"/>
          <w:lang w:val="ru-RU"/>
        </w:rPr>
        <w:t xml:space="preserve">Листинг 1 — разметка простейшего документа</w:t>
      </w:r>
      <w:r>
        <w:rPr>
          <w:rStyle w:val="655"/>
          <w:b w:val="0"/>
          <w:bCs w:val="0"/>
          <w:highlight w:val="none"/>
          <w:lang w:val="ru-RU"/>
        </w:rPr>
      </w:r>
      <w:r>
        <w:rPr>
          <w:rStyle w:val="655"/>
          <w:b w:val="0"/>
          <w:bCs w:val="0"/>
          <w:highlight w:val="none"/>
          <w:lang w:val="ru-RU"/>
          <w14:ligatures w14:val="none"/>
        </w:rPr>
      </w:r>
    </w:p>
    <w:tbl>
      <w:tblPr>
        <w:tblStyle w:val="6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39"/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Style w:val="655"/>
                <w:rFonts w:ascii="Open Sans" w:hAnsi="Open Sans" w:eastAsia="Open Sans" w:cs="Open Sans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</w:rPr>
              <w:t xml:space="preserve">\documentclass{article}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%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класс документа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</w:rPr>
              <w:br/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highlight w:val="none"/>
              </w:rPr>
            </w:r>
          </w:p>
          <w:p>
            <w:pPr>
              <w:pStyle w:val="839"/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%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en-US"/>
              </w:rPr>
              <w:t xml:space="preserve">“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%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en-US"/>
              </w:rPr>
              <w:t xml:space="preserve">”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 – начало комментария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highlight w:val="none"/>
                <w:lang w:val="en-US"/>
              </w:rPr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</w:rPr>
            </w:r>
          </w:p>
          <w:p>
            <w:pPr>
              <w:pStyle w:val="839"/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</w:rPr>
              <w:br/>
              <w:t xml:space="preserve">\begin{document}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%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начало тела документа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</w:rPr>
              <w:br/>
              <w:t xml:space="preserve">First document. This is a simple example, with no </w:t>
              <w:br/>
              <w:t xml:space="preserve">extra parameters or packages included.</w:t>
              <w:br/>
              <w:t xml:space="preserve">\end{document}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%</w:t>
            </w:r>
            <w:r>
              <w:rPr>
                <w:rFonts w:ascii="Open Sans" w:hAnsi="Open Sans" w:eastAsia="Open Sans" w:cs="Open Sans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конец тела документа</w:t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</w:r>
            <w:r>
              <w:rPr>
                <w:rFonts w:ascii="Open Sans" w:hAnsi="Open Sans" w:eastAsia="Open Sans" w:cs="Open Sans"/>
                <w:color w:val="000000" w:themeColor="text1"/>
                <w:sz w:val="24"/>
                <w:szCs w:val="24"/>
                <w:lang w:val="en-US"/>
              </w:rPr>
            </w:r>
          </w:p>
        </w:tc>
      </w:tr>
    </w:tbl>
    <w:p>
      <w:pPr>
        <w:pStyle w:val="837"/>
        <w:jc w:val="both"/>
        <w:rPr>
          <w:b w:val="0"/>
          <w:bCs w:val="0"/>
          <w:highlight w:val="none"/>
          <w:lang w:val="ru-RU"/>
          <w14:ligatures w14:val="none"/>
        </w:rPr>
      </w:pPr>
      <w:r>
        <w:rPr>
          <w:b w:val="0"/>
          <w:bCs w:val="0"/>
          <w:highlight w:val="none"/>
          <w:lang w:val="ru-RU"/>
          <w14:ligatures w14:val="none"/>
        </w:rPr>
      </w:r>
      <w:r>
        <w:rPr>
          <w:b w:val="0"/>
          <w:bCs w:val="0"/>
          <w:highlight w:val="none"/>
          <w:lang w:val="ru-RU"/>
          <w14:ligatures w14:val="none"/>
        </w:rPr>
      </w:r>
      <w:r>
        <w:rPr>
          <w:b w:val="0"/>
          <w:bCs w:val="0"/>
          <w:highlight w:val="none"/>
          <w:lang w:val="ru-RU"/>
          <w14:ligatures w14:val="none"/>
        </w:rPr>
      </w:r>
    </w:p>
    <w:tbl>
      <w:tblPr>
        <w:tblStyle w:val="6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37"/>
              <w:jc w:val="both"/>
              <w:rPr>
                <w:rStyle w:val="655"/>
                <w:b w:val="0"/>
                <w:bCs w:val="0"/>
                <w:highlight w:val="none"/>
                <w:lang w:val="ru-RU"/>
              </w:rPr>
            </w:pPr>
            <w:r>
              <w:rPr>
                <w:rStyle w:val="655"/>
                <w:b w:val="0"/>
                <w:bCs w:val="0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782055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1811297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940424" cy="7820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width:467.75pt;height:61.58pt;mso-wrap-distance-left:0.00pt;mso-wrap-distance-top:0.00pt;mso-wrap-distance-right:0.00pt;mso-wrap-distance-bottom:0.00pt;rotation:0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rStyle w:val="655"/>
                <w:b w:val="0"/>
                <w:bCs w:val="0"/>
                <w:highlight w:val="none"/>
                <w:lang w:val="ru-RU"/>
              </w:rPr>
            </w:r>
            <w:r>
              <w:rPr>
                <w:rStyle w:val="655"/>
                <w:b w:val="0"/>
                <w:bCs w:val="0"/>
                <w:highlight w:val="none"/>
                <w:lang w:val="ru-RU"/>
              </w:rPr>
            </w:r>
          </w:p>
        </w:tc>
      </w:tr>
    </w:tbl>
    <w:p>
      <w:pPr>
        <w:pStyle w:val="837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5 — </w:t>
      </w:r>
      <w:r>
        <w:rPr>
          <w:highlight w:val="none"/>
          <w:lang w:val="ru-RU"/>
        </w:rPr>
        <w:t xml:space="preserve">пример простейшего документа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Все, что находится в коде разметки до тега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\begin{document}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называется преамбулой документа. </w:t>
      </w:r>
      <w:r>
        <w:rPr>
          <w:highlight w:val="none"/>
          <w:lang w:val="ru-RU"/>
        </w:rPr>
        <w:t xml:space="preserve">В ней можно определить тип создаваемого документа, используемый язык, нужные библиотеки (подробнее позже) и ряд других элементов.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Пример документа с преамбулой описывается кодом разметки в листинге 2 и рисунке 6.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Листинг 2 — код разметки документа с преамбулой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tbl>
      <w:tblPr>
        <w:tblStyle w:val="6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39"/>
              <w:rPr>
                <w:b/>
                <w:bCs/>
                <w14:ligatures w14:val="none"/>
              </w:rPr>
            </w:pPr>
            <w:r>
              <w:rPr>
                <w:b/>
                <w:bCs/>
                <w:highlight w:val="none"/>
              </w:rPr>
              <w:t xml:space="preserve">% </w:t>
            </w:r>
            <w:r>
              <w:rPr>
                <w:b/>
                <w:bCs/>
                <w:highlight w:val="none"/>
                <w:lang w:val="ru-RU"/>
              </w:rPr>
              <w:t xml:space="preserve">размер шрифта, бумаги, двусторонняя печать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14:ligatures w14:val="none"/>
              </w:rPr>
            </w:r>
          </w:p>
          <w:p>
            <w:pPr>
              <w:pStyle w:val="839"/>
              <w:rPr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\documentclass[12pt, letterpaper, twoside]{article}</w:t>
            </w:r>
            <w:r>
              <w:rPr>
                <w:highlight w:val="none"/>
              </w:rPr>
            </w:r>
            <w:r>
              <w:rPr>
                <w14:ligatures w14:val="none"/>
              </w:rPr>
            </w:r>
          </w:p>
          <w:p>
            <w:pPr>
              <w:pStyle w:val="839"/>
              <w:rPr>
                <w14:ligatures w14:val="none"/>
              </w:rPr>
            </w:pPr>
            <w:r>
              <w:rPr>
                <w:b/>
                <w:bCs/>
              </w:rPr>
              <w:t xml:space="preserve">% кодировка документа</w:t>
            </w:r>
            <w:r>
              <w:br/>
              <w:t xml:space="preserve">\usepackage[utf8]{inputenc}</w:t>
              <w:br/>
            </w:r>
            <w:r>
              <w:rPr>
                <w:highlight w:val="none"/>
              </w:rPr>
            </w:r>
            <w:r>
              <w:rPr>
                <w14:ligatures w14:val="none"/>
              </w:rPr>
            </w:r>
          </w:p>
          <w:p>
            <w:pPr>
              <w:pStyle w:val="839"/>
              <w:rPr>
                <w14:ligatures w14:val="none"/>
              </w:rPr>
            </w:pPr>
            <w:r>
              <w:rPr>
                <w:b/>
                <w:bCs/>
              </w:rPr>
              <w:t xml:space="preserve">% название</w:t>
            </w:r>
            <w:r>
              <w:br/>
              <w:t xml:space="preserve">\title{First document}</w:t>
            </w:r>
            <w:r>
              <w:rPr>
                <w:highlight w:val="none"/>
              </w:rPr>
            </w:r>
            <w:r>
              <w:rPr>
                <w14:ligatures w14:val="none"/>
              </w:rPr>
            </w:r>
          </w:p>
          <w:p>
            <w:pPr>
              <w:pStyle w:val="839"/>
              <w:rPr>
                <w14:ligatures w14:val="none"/>
              </w:rPr>
            </w:pPr>
            <w:r>
              <w:rPr>
                <w:b/>
                <w:bCs/>
              </w:rPr>
              <w:t xml:space="preserve">% автор</w:t>
            </w:r>
            <w:r>
              <w:br/>
              <w:t xml:space="preserve">\author{Hube</w:t>
            </w:r>
            <w:r>
              <w:t xml:space="preserve">rt Farnsworth \thanks{funded by the Overleaf team}}</w:t>
            </w:r>
            <w:r>
              <w:rPr>
                <w:highlight w:val="none"/>
              </w:rPr>
            </w:r>
            <w:r>
              <w:rPr>
                <w14:ligatures w14:val="none"/>
              </w:rPr>
            </w:r>
          </w:p>
          <w:p>
            <w:pPr>
              <w:pStyle w:val="839"/>
              <w:rPr>
                <w:highlight w:val="none"/>
                <w14:ligatures w14:val="none"/>
              </w:rPr>
            </w:pPr>
            <w:r>
              <w:rPr>
                <w:b/>
                <w:bCs/>
              </w:rPr>
              <w:t xml:space="preserve">% дата</w:t>
            </w:r>
            <w:r>
              <w:br/>
              <w:t xml:space="preserve">\date{February </w:t>
            </w:r>
            <w:r>
              <w:t xml:space="preserve">2017</w:t>
            </w:r>
            <w:r>
              <w:t xml:space="preserve">}</w:t>
            </w:r>
            <w:r>
              <w:rPr>
                <w:highlight w:val="none"/>
                <w14:ligatures w14:val="none"/>
              </w:rPr>
            </w:r>
          </w:p>
          <w:p>
            <w:pPr>
              <w:pStyle w:val="83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839"/>
              <w:rPr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\begin{document}</w:t>
              <w:br/>
            </w:r>
            <w:r>
              <w:rPr>
                <w:highlight w:val="none"/>
                <w:lang w:val="ru-RU"/>
              </w:rPr>
            </w:r>
            <w:r>
              <w:rPr>
                <w14:ligatures w14:val="none"/>
              </w:rPr>
            </w:r>
          </w:p>
          <w:p>
            <w:pPr>
              <w:pStyle w:val="839"/>
              <w:rPr>
                <w:highlight w:val="none"/>
                <w:lang w:val="ru-RU"/>
                <w14:ligatures w14:val="none"/>
              </w:rPr>
            </w:pPr>
            <w:r>
              <w:rPr>
                <w:b/>
                <w:bCs/>
                <w:lang w:val="en-US"/>
              </w:rPr>
              <w:t xml:space="preserve">% </w:t>
            </w:r>
            <w:r>
              <w:rPr>
                <w:b/>
                <w:bCs/>
                <w:lang w:val="ru-RU"/>
              </w:rPr>
              <w:t xml:space="preserve">вывод названия, автора и даты</w:t>
            </w:r>
            <w:r>
              <w:br/>
              <w:t xml:space="preserve">\maketitle</w:t>
              <w:br/>
              <w:br/>
              <w:t xml:space="preserve">We have now added a title, author and date to our first \LaTeX{} document!</w:t>
              <w:br/>
              <w:br/>
              <w:t xml:space="preserve">\end{document}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37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tbl>
      <w:tblPr>
        <w:tblStyle w:val="6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37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2252157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0541359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22521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67.75pt;height:177.34pt;mso-wrap-distance-left:0.00pt;mso-wrap-distance-top:0.00pt;mso-wrap-distance-right:0.00pt;mso-wrap-distance-bottom:0.00pt;" stroked="false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837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6 — пример документа с преамбулой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rStyle w:val="655"/>
          <w:lang w:val="ru-RU"/>
        </w:rPr>
        <w:t xml:space="preserve">3 Внесение корректировок в методическое пособие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37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 дальнейшем, в качестве примера, будут рассмотрены лишь некоторые из внесенных корректировок. Полный список внесенных корректировок:</w:t>
      </w:r>
      <w:r>
        <w:rPr>
          <w:highlight w:val="none"/>
          <w:lang w:val="ru-RU"/>
          <w14:ligatures w14:val="none"/>
        </w:rPr>
      </w:r>
    </w:p>
    <w:p>
      <w:pPr>
        <w:pStyle w:val="837"/>
        <w:numPr>
          <w:ilvl w:val="0"/>
          <w:numId w:val="1"/>
        </w:numPr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В первой лабораторной в п.3. "Задачи и порядок выполнения работы" есть ссылка на разрядность b, которая не указана в вариантах заданий для самостоятельной работы. Надо сформировать случайным образом с равномерным распределением в диапазоне от 4 до 8.</w:t>
      </w:r>
      <w:r>
        <w:rPr>
          <w:highlight w:val="none"/>
          <w:lang w:val="ru-RU"/>
          <w14:ligatures w14:val="none"/>
        </w:rPr>
      </w:r>
      <w:r/>
    </w:p>
    <w:p>
      <w:pPr>
        <w:pStyle w:val="837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37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лабораторной в вариантах для самостоятельной работы исключить "прямой" вариант кода, т.к. не исключена возможность отрицательных значений.</w:t>
      </w:r>
      <w:r>
        <w:rPr>
          <w:highlight w:val="none"/>
          <w:lang w:val="ru-RU"/>
        </w:rPr>
      </w:r>
    </w:p>
    <w:p>
      <w:pPr>
        <w:pStyle w:val="837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четвертой лабораторной в вариантах для самостоятельной работы привести расшифровку аббревиатур типов импульса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</w:p>
    <w:p>
      <w:pPr>
        <w:pStyle w:val="837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по тексту и в коде исправить обозначения: </w:t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/>
      <w:r>
        <w:rPr>
          <w:highlight w:val="none"/>
          <w:lang w:val="ru-RU"/>
        </w:rPr>
      </w:r>
    </w:p>
    <w:p>
      <w:pPr>
        <w:pStyle w:val="837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n - степень полинома;</w:t>
      </w:r>
      <w:r/>
    </w:p>
    <w:p>
      <w:pPr>
        <w:pStyle w:val="837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N - количество импульсов;</w:t>
      </w:r>
      <w:r/>
    </w:p>
    <w:p>
      <w:pPr>
        <w:pStyle w:val="837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M - исключить в качестве переменной.</w:t>
      </w:r>
      <w:r/>
      <w:r>
        <w:rPr>
          <w:highlight w:val="none"/>
          <w:lang w:val="ru-RU"/>
        </w:rPr>
      </w:r>
      <w:r/>
      <w:r>
        <w:rPr>
          <w:highlight w:val="none"/>
          <w:lang w:val="ru-RU"/>
        </w:rPr>
      </w:r>
    </w:p>
    <w:p>
      <w:pPr>
        <w:pStyle w:val="837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 В пятой </w:t>
      </w:r>
      <w:r>
        <w:rPr>
          <w:highlight w:val="none"/>
          <w:lang w:val="ru-RU"/>
        </w:rPr>
        <w:t xml:space="preserve">лабораторной </w:t>
      </w:r>
      <w:r/>
      <w:r>
        <w:rPr>
          <w:highlight w:val="none"/>
          <w:lang w:val="ru-RU"/>
        </w:rPr>
        <w:t xml:space="preserve">в задачах и порядке выполнения работы заменить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тау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en-US"/>
        </w:rPr>
        <w:t xml:space="preserve">i”</w:t>
      </w:r>
      <w:r>
        <w:rPr>
          <w:highlight w:val="none"/>
          <w:lang w:val="ru-RU"/>
        </w:rPr>
        <w:t xml:space="preserve">, тем самым привести в соответствие с обозначением в вариантах заданий для самостоятельной работы</w:t>
      </w:r>
      <w:r>
        <w:rPr>
          <w:highlight w:val="none"/>
          <w:lang w:val="ru-RU"/>
        </w:rPr>
      </w:r>
    </w:p>
    <w:p>
      <w:pPr>
        <w:pStyle w:val="837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третьей </w:t>
      </w:r>
      <w:r>
        <w:rPr>
          <w:highlight w:val="none"/>
          <w:lang w:val="ru-RU"/>
        </w:rPr>
        <w:t xml:space="preserve">лабораторной </w:t>
      </w:r>
      <w:r/>
      <w:r>
        <w:rPr>
          <w:highlight w:val="none"/>
          <w:lang w:val="ru-RU"/>
        </w:rPr>
        <w:t xml:space="preserve">в вариантах заданий для самостоятельной работы исключить возможность отрицательных амплитуд и частот при их случайном генерировании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</w:p>
    <w:p>
      <w:pPr>
        <w:pStyle w:val="837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ограничить </w:t>
      </w:r>
      <w:r>
        <w:rPr>
          <w:highlight w:val="none"/>
          <w:lang w:val="ru-RU"/>
        </w:rPr>
        <w:t xml:space="preserve"> степени порождающего полинома в вариантах заданий 10.</w:t>
      </w:r>
      <w:r>
        <w:rPr>
          <w:highlight w:val="none"/>
          <w:lang w:val="ru-RU"/>
        </w:rPr>
      </w:r>
    </w:p>
    <w:p>
      <w:pPr>
        <w:pStyle w:val="837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основных теоретических сведениях обозначение амплитуды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A0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заменить на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, а обозначение функции спектральной плотности энергии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 заменить соответственно на G</w:t>
      </w:r>
      <w:r>
        <w:rPr>
          <w:highlight w:val="none"/>
          <w:lang w:val="en-US"/>
        </w:rPr>
        <w:t xml:space="preserve">”.</w:t>
      </w:r>
      <w:r>
        <w:rPr>
          <w:highlight w:val="none"/>
          <w:lang w:val="ru-RU"/>
        </w:rPr>
      </w:r>
    </w:p>
    <w:p>
      <w:pPr>
        <w:pStyle w:val="837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четвертой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переформулировать п.2 Задач и порядка выполнения работы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</w:p>
    <w:p>
      <w:pPr>
        <w:pStyle w:val="837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коде исправить уровни квантования в соответствии с диапазоном сигнала (сигнал имеет начальное смещение А0)</w:t>
      </w:r>
      <w:r>
        <w:rPr>
          <w:highlight w:val="none"/>
          <w:lang w:val="ru-RU"/>
        </w:rPr>
        <w:t xml:space="preserve">.</w:t>
      </w:r>
      <w:r/>
    </w:p>
    <w:p>
      <w:pPr>
        <w:pStyle w:val="837"/>
        <w:jc w:val="both"/>
      </w:pPr>
      <w:r>
        <w:rPr>
          <w:highlight w:val="none"/>
          <w:lang w:val="ru-RU"/>
        </w:rPr>
      </w:r>
      <w:r/>
    </w:p>
    <w:p>
      <w:pPr>
        <w:pStyle w:val="837"/>
        <w:jc w:val="both"/>
      </w:pPr>
      <w:r>
        <w:rPr>
          <w:highlight w:val="none"/>
          <w:lang w:val="ru-RU"/>
        </w:rPr>
        <w:t xml:space="preserve">- [x] #todo Во второй лабе переформулировать п.2 Задач и порядка выполнения работы</w:t>
      </w:r>
      <w:r/>
    </w:p>
    <w:p>
      <w:pPr>
        <w:pStyle w:val="837"/>
        <w:jc w:val="both"/>
      </w:pPr>
      <w:r>
        <w:rPr>
          <w:highlight w:val="none"/>
          <w:lang w:val="ru-RU"/>
        </w:rPr>
        <w:t xml:space="preserve">- [x] При этом в подпунктах а, б, в, г произвести замену:...</w:t>
      </w:r>
      <w:r/>
    </w:p>
    <w:p>
      <w:pPr>
        <w:pStyle w:val="837"/>
        <w:jc w:val="both"/>
      </w:pPr>
      <w:r>
        <w:rPr>
          <w:highlight w:val="none"/>
          <w:lang w:val="ru-RU"/>
        </w:rPr>
      </w:r>
      <w:r/>
    </w:p>
    <w:p>
      <w:pPr>
        <w:pStyle w:val="837"/>
        <w:jc w:val="both"/>
      </w:pPr>
      <w:r>
        <w:rPr>
          <w:highlight w:val="none"/>
          <w:lang w:val="ru-RU"/>
        </w:rPr>
        <w:t xml:space="preserve">- [x] #todo В восьмой лабе в некоторых вариантах задана отрицательная ФСПМ или АКФ. Необходимо обеспечить положительное значение на всей области определения [от 0 до 1 ?]</w:t>
      </w:r>
      <w:r/>
    </w:p>
    <w:p>
      <w:pPr>
        <w:pStyle w:val="837"/>
        <w:jc w:val="both"/>
      </w:pPr>
      <w:r>
        <w:rPr>
          <w:highlight w:val="none"/>
          <w:lang w:val="ru-RU"/>
        </w:rPr>
      </w:r>
      <w:r/>
    </w:p>
    <w:p>
      <w:pPr>
        <w:pStyle w:val="837"/>
        <w:jc w:val="both"/>
        <w:rPr>
          <w:rStyle w:val="655"/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- [x] #todo Во второй лабе во вариантах заменить "кардиальный" синус на "кардинальный"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37"/>
        <w:jc w:val="left"/>
        <w:rPr>
          <w:highlight w:val="none"/>
          <w:lang w:val="ru-RU"/>
          <w14:ligatures w14:val="none"/>
        </w:rPr>
      </w:pPr>
      <w:r>
        <w:rPr>
          <w:rStyle w:val="655"/>
          <w:highlight w:val="none"/>
          <w:lang w:val="ru-RU"/>
        </w:rPr>
      </w:r>
      <w:r>
        <w:rPr>
          <w:rStyle w:val="655"/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7"/>
    <w:next w:val="830"/>
    <w:link w:val="655"/>
    <w:uiPriority w:val="9"/>
    <w:qFormat/>
    <w:pPr>
      <w:spacing w:after="0" w:afterAutospacing="0"/>
    </w:pPr>
    <w:rPr>
      <w:b/>
      <w:bCs/>
    </w:rPr>
  </w:style>
  <w:style w:type="character" w:styleId="655">
    <w:name w:val="Heading 1 Char"/>
    <w:link w:val="654"/>
    <w:uiPriority w:val="9"/>
    <w:rPr>
      <w:b/>
      <w:bCs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  <w:style w:type="character" w:styleId="836" w:customStyle="1">
    <w:name w:val="Обычный 2_character"/>
    <w:link w:val="837"/>
    <w:rPr>
      <w:lang w:val="ru-RU"/>
    </w:rPr>
  </w:style>
  <w:style w:type="paragraph" w:styleId="837" w:customStyle="1">
    <w:name w:val="Обычный 2"/>
    <w:basedOn w:val="830"/>
    <w:link w:val="836"/>
    <w:qFormat/>
    <w:pPr>
      <w:jc w:val="both"/>
      <w:spacing w:after="0" w:afterAutospacing="0" w:line="360" w:lineRule="auto"/>
    </w:pPr>
    <w:rPr>
      <w:rFonts w:ascii="Times New Roman" w:hAnsi="Times New Roman" w:eastAsia="Times New Roman" w:cs="Times New Roman"/>
      <w:b w:val="0"/>
      <w:bCs w:val="0"/>
      <w:sz w:val="28"/>
      <w:szCs w:val="28"/>
      <w:lang w:val="ru-RU"/>
    </w:rPr>
  </w:style>
  <w:style w:type="character" w:styleId="838" w:customStyle="1">
    <w:name w:val="Код_character"/>
    <w:link w:val="839"/>
    <w:rPr>
      <w:rFonts w:ascii="Open Sans" w:hAnsi="Open Sans" w:eastAsia="Open Sans" w:cs="Open Sans"/>
      <w:color w:val="000000" w:themeColor="text1"/>
      <w:sz w:val="24"/>
      <w:szCs w:val="24"/>
    </w:rPr>
  </w:style>
  <w:style w:type="paragraph" w:styleId="839" w:customStyle="1">
    <w:name w:val="Код"/>
    <w:basedOn w:val="837"/>
    <w:link w:val="838"/>
    <w:qFormat/>
    <w:pPr>
      <w:jc w:val="left"/>
    </w:pPr>
    <w:rPr>
      <w:rFonts w:ascii="Open Sans" w:hAnsi="Open Sans" w:eastAsia="Open Sans" w:cs="Open Sans"/>
      <w:color w:val="000000" w:themeColor="text1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2024-05-04T07:27:14Z</dcterms:modified>
</cp:coreProperties>
</file>