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2.2 Сетевой уровень</w:t>
      </w:r>
      <w:r>
        <w:rPr>
          <w:b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ab/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На сетевом уровне мы определяем два основных параметра, которые имеют особое значение для блокчейнов на основе доказательства работы (далее, PoW-блокчейны), а именно: размер блока и задержка механизма распространения информации.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2.2.1 Размер блока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ab/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Максимальный размер блока косвенно определяет максимальное число транзакций, находящихся в блоке. Поэтому, данная величина определяет пропускную способность, достигаемую системой. Большие блоки имеют меньшую скорость распространения, что в свою очередь повышает скорость устаревания блоков (и ослабляет защиту блокчейна, как указано ранее).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2.2.2 Механизм распространения информации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ab/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Система управления блочными запросами определяет, как информация доставляется узлам одноранговой сети. В итоге, так как ожидается, что все одноранговые узлы получат все блоки, необходим широковещательный протокол. Выбор базового широковещательного протокола явно влияет на надежность и масштабируемость сети (см. Раздел 4). В дальнейшем, мы кратко опишем известные реализации сетевого уровня существующих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PoW-блокчейнов. </w:t>
      </w: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Распространение информации на основе оповещений: 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4"/>
          <w:highlight w:val="none"/>
          <w:lang w:val="ru-RU"/>
        </w:rPr>
        <w:t xml:space="preserve">Большинство PoW-блокчейнов распространяют информацию при помощи основанной на оповещениях системы управления запросами. Если узел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А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получает информацию о новом объекте (например, о транзакции или блоке) от другого узла,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А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оповестит об объекте остальные соединения (например, узел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B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) посредством отправки им описательного сообщения (хеша и типа распространяемого объекта). Только если узел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B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ранее не получил распространяемый объект,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B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запросит объект у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A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c помощью запроса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getdat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a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Узел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A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 впоследствии ответит объектом Bitcoin, например, содержимым транзакции или блока.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i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i w:val="false"/>
          <w:color w:val="000000"/>
          <w:sz w:val="24"/>
          <w:highlight w:val="none"/>
          <w:lang w:val="ru-RU"/>
        </w:rPr>
        <w:t xml:space="preserve">Отправка заголовков: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Узлы одноранговой сети в качестве альтернативы могут выдавать сообщения </w:t>
      </w:r>
      <w:r>
        <w:rPr>
          <w:rFonts w:ascii="Times New Roman" w:hAnsi="Times New Roman" w:cs="Times New Roman" w:eastAsia="Times New Roman"/>
          <w:b w:val="false"/>
          <w:i/>
          <w:color w:val="000000"/>
          <w:sz w:val="24"/>
          <w:highlight w:val="none"/>
          <w:lang w:val="ru-RU"/>
        </w:rPr>
        <w:t xml:space="preserve">sendheaders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 (сообщения отправки заголовков), чтобы напрямую получить заголовки блоков от своих одноранговых соседей в будущем, избегая отправки описательных сообщений. Эта технология, которая уменьшает задержку и потерю пропускной способности при распространении блочных сообщений, принята в Bitcoin начиная с версии 0.12.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i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i w:val="false"/>
          <w:color w:val="000000"/>
          <w:sz w:val="24"/>
          <w:highlight w:val="none"/>
          <w:lang w:val="ru-RU"/>
        </w:rPr>
        <w:t xml:space="preserve">Незапрошенное выдвижение блока: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4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Этот механизм позволяет майнерам распространять посредством широкого вещания сгенерированные ими блоки без оповещения (например, как только они создали блок). Заметим, что этот механизм выдвижения рекомендован, но не используется в Bitcoin.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i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i w:val="false"/>
          <w:color w:val="000000"/>
          <w:sz w:val="24"/>
          <w:highlight w:val="none"/>
          <w:lang w:val="ru-RU"/>
        </w:rPr>
        <w:t xml:space="preserve">Ретрансляционные сети: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Ретрансляционные сети в первую очередь улучшают синхронизацию майнеров, которые используют общий набор транзакций. На транзакции обычно ссылаются только в ретранслируемых блоках с индентификаторами транзакций (2 байта на транзакцию вместо 250 байт на транзакцию в среднем). Как следствие, результирующий размер блока меньше, чем у обычного блока (см. Ретрансляционные сети Bitcoin).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i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i w:val="false"/>
          <w:color w:val="000000"/>
          <w:sz w:val="24"/>
          <w:highlight w:val="none"/>
          <w:lang w:val="ru-RU"/>
        </w:rPr>
        <w:t xml:space="preserve">Гибридное выдвижение / Система оповещения: 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4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Некоторые системы, такие, как Ethereum, сочетают использование выдвижения и распространения оповещений. Здесь блок напрямую продвигается к пороговому числу одноранговых узлов (например, Etherium напрямую выдвигает блок на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 корень из n одноранговых узлов, где n - общее число соседних узлов, подключенных к данному). Одновременно, отправитель оповещает о блоке с помощью его хеша всех своих соседей.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/>
          <w:i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i w:val="false"/>
          <w:color w:val="000000"/>
          <w:sz w:val="24"/>
          <w:highlight w:val="none"/>
          <w:lang w:val="ru-RU"/>
        </w:rPr>
        <w:t xml:space="preserve">2.3. Устаревшие блоки</w:t>
      </w:r>
      <w:r>
        <w:rPr>
          <w:rFonts w:ascii="Times New Roman" w:hAnsi="Times New Roman" w:cs="Times New Roman" w:eastAsia="Times New Roman"/>
          <w:b/>
          <w:i w:val="false"/>
          <w:color w:val="000000"/>
          <w:sz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Устаревшие блоки ссылаются на блоки, которые больше не включены в длиннейшую цепочку, например, из-за параллельности, конфликтов. Устаревшие блоки вредны для безопасности и производительности блокчейна, поскольку они порождают разветвления цепи — некорректное состояние, которое замедляет рост основной цепи и приводи к значительным последствиям для производительности и безопасности. С одной стороны, устаревшие блоки увеличивают вероятность возникновения состояния состязания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 в сети (например, с двойной траты). С другой стороны, устаревшие блоки приводят к дополнительному снижению пропускной способности сети и, как правило, их майнинг не награждается (кроме как в Etherium).</w:t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В эксперименте, который мы провели, мы измеряли частоту устаревания блоков в сети Bitcoin (время генрации блоков = 10 минут, средний размер блока = 534.8 КБ), Litecoin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(время генрации блоков = 2.5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минуты, средний размер блока = 6.11 КБ)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 и Dogecoin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(время генрации блоков = 1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минута, средний размер блока = 8 КБ)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. Все три блокчейна основаны на PoW (с разным временем генерации) и одинаковой системе распространения информации (с разными размерами блоков). 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  <w:t xml:space="preserve">Мы проверили доступные узлы в Litecoin и Dogecoin в феврале 2016 и обнаружили около 800 и 600 IP адресов соответственно. Затем мы измерили время распространения блоков посредством регистрации  времени в которое мы получили оповещение о блоке из определенного блока из всех наших соединений в соответствующих сетях. Мы управляли одним узлом для Litecoin и Dogecoin, который мы подключили к 340 и 400 узлам соответственно. Как только один из этих одноранговых узлов оповещает о блоке в форме или нового хеша блока (описательное сообщение) или заголовка блока (заголовочное сообщение), мы регистрируем время появления информации о блоке. Каждый последующий прием определенной части блока затем предоставляет информацию о распространении блока.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4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2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link w:val="802"/>
    <w:uiPriority w:val="9"/>
    <w:rPr>
      <w:rFonts w:ascii="Arial" w:hAnsi="Arial" w:cs="Arial" w:eastAsia="Arial"/>
      <w:sz w:val="40"/>
      <w:szCs w:val="40"/>
    </w:rPr>
  </w:style>
  <w:style w:type="character" w:styleId="641">
    <w:name w:val="Heading 2 Char"/>
    <w:link w:val="803"/>
    <w:uiPriority w:val="9"/>
    <w:rPr>
      <w:rFonts w:ascii="Arial" w:hAnsi="Arial" w:cs="Arial" w:eastAsia="Arial"/>
      <w:sz w:val="34"/>
    </w:rPr>
  </w:style>
  <w:style w:type="character" w:styleId="642">
    <w:name w:val="Heading 3 Char"/>
    <w:link w:val="804"/>
    <w:uiPriority w:val="9"/>
    <w:rPr>
      <w:rFonts w:ascii="Arial" w:hAnsi="Arial" w:cs="Arial" w:eastAsia="Arial"/>
      <w:sz w:val="30"/>
      <w:szCs w:val="30"/>
    </w:rPr>
  </w:style>
  <w:style w:type="character" w:styleId="643">
    <w:name w:val="Heading 4 Char"/>
    <w:link w:val="805"/>
    <w:uiPriority w:val="9"/>
    <w:rPr>
      <w:rFonts w:ascii="Arial" w:hAnsi="Arial" w:cs="Arial" w:eastAsia="Arial"/>
      <w:b/>
      <w:bCs/>
      <w:sz w:val="26"/>
      <w:szCs w:val="26"/>
    </w:rPr>
  </w:style>
  <w:style w:type="character" w:styleId="644">
    <w:name w:val="Heading 5 Char"/>
    <w:link w:val="806"/>
    <w:uiPriority w:val="9"/>
    <w:rPr>
      <w:rFonts w:ascii="Arial" w:hAnsi="Arial" w:cs="Arial" w:eastAsia="Arial"/>
      <w:b/>
      <w:bCs/>
      <w:sz w:val="24"/>
      <w:szCs w:val="24"/>
    </w:rPr>
  </w:style>
  <w:style w:type="character" w:styleId="645">
    <w:name w:val="Heading 6 Char"/>
    <w:link w:val="807"/>
    <w:uiPriority w:val="9"/>
    <w:rPr>
      <w:rFonts w:ascii="Arial" w:hAnsi="Arial" w:cs="Arial" w:eastAsia="Arial"/>
      <w:b/>
      <w:bCs/>
      <w:sz w:val="22"/>
      <w:szCs w:val="22"/>
    </w:rPr>
  </w:style>
  <w:style w:type="character" w:styleId="646">
    <w:name w:val="Heading 7 Char"/>
    <w:link w:val="80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8 Char"/>
    <w:link w:val="809"/>
    <w:uiPriority w:val="9"/>
    <w:rPr>
      <w:rFonts w:ascii="Arial" w:hAnsi="Arial" w:cs="Arial" w:eastAsia="Arial"/>
      <w:i/>
      <w:iCs/>
      <w:sz w:val="22"/>
      <w:szCs w:val="22"/>
    </w:rPr>
  </w:style>
  <w:style w:type="character" w:styleId="648">
    <w:name w:val="Heading 9 Char"/>
    <w:link w:val="810"/>
    <w:uiPriority w:val="9"/>
    <w:rPr>
      <w:rFonts w:ascii="Arial" w:hAnsi="Arial" w:cs="Arial" w:eastAsia="Arial"/>
      <w:i/>
      <w:iCs/>
      <w:sz w:val="21"/>
      <w:szCs w:val="21"/>
    </w:rPr>
  </w:style>
  <w:style w:type="character" w:styleId="649">
    <w:name w:val="Title Char"/>
    <w:link w:val="819"/>
    <w:uiPriority w:val="10"/>
    <w:rPr>
      <w:sz w:val="48"/>
      <w:szCs w:val="48"/>
    </w:rPr>
  </w:style>
  <w:style w:type="character" w:styleId="650">
    <w:name w:val="Subtitle Char"/>
    <w:link w:val="817"/>
    <w:uiPriority w:val="11"/>
    <w:rPr>
      <w:sz w:val="24"/>
      <w:szCs w:val="24"/>
    </w:rPr>
  </w:style>
  <w:style w:type="character" w:styleId="651">
    <w:name w:val="Quote Char"/>
    <w:link w:val="816"/>
    <w:uiPriority w:val="29"/>
    <w:rPr>
      <w:i/>
    </w:rPr>
  </w:style>
  <w:style w:type="character" w:styleId="652">
    <w:name w:val="Intense Quote Char"/>
    <w:link w:val="818"/>
    <w:uiPriority w:val="30"/>
    <w:rPr>
      <w:i/>
    </w:rPr>
  </w:style>
  <w:style w:type="character" w:styleId="653">
    <w:name w:val="Header Char"/>
    <w:link w:val="814"/>
    <w:uiPriority w:val="99"/>
  </w:style>
  <w:style w:type="character" w:styleId="654">
    <w:name w:val="Footer Char"/>
    <w:link w:val="813"/>
    <w:uiPriority w:val="99"/>
  </w:style>
  <w:style w:type="paragraph" w:styleId="655">
    <w:name w:val="Caption"/>
    <w:basedOn w:val="801"/>
    <w:next w:val="80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6">
    <w:name w:val="Caption Char"/>
    <w:basedOn w:val="655"/>
    <w:link w:val="813"/>
    <w:uiPriority w:val="99"/>
  </w:style>
  <w:style w:type="table" w:styleId="657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8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9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0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1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2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4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6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7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8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9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0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1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2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693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694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95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96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697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98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99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0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1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2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3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4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5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6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1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2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3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4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5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6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7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9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0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1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2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3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4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5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6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7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8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9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0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1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2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63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64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65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66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67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68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69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0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1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2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3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4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5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6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7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8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9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0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1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2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3">
    <w:name w:val="Hyperlink"/>
    <w:uiPriority w:val="99"/>
    <w:unhideWhenUsed/>
    <w:rPr>
      <w:color w:val="0000FF" w:themeColor="hyperlink"/>
      <w:u w:val="single"/>
    </w:rPr>
  </w:style>
  <w:style w:type="paragraph" w:styleId="784">
    <w:name w:val="footnote text"/>
    <w:basedOn w:val="801"/>
    <w:link w:val="785"/>
    <w:uiPriority w:val="99"/>
    <w:semiHidden/>
    <w:unhideWhenUsed/>
    <w:rPr>
      <w:sz w:val="18"/>
    </w:rPr>
    <w:pPr>
      <w:spacing w:lineRule="auto" w:line="240" w:after="40"/>
    </w:pPr>
  </w:style>
  <w:style w:type="character" w:styleId="785">
    <w:name w:val="Footnote Text Char"/>
    <w:link w:val="784"/>
    <w:uiPriority w:val="99"/>
    <w:rPr>
      <w:sz w:val="18"/>
    </w:rPr>
  </w:style>
  <w:style w:type="character" w:styleId="786">
    <w:name w:val="footnote reference"/>
    <w:uiPriority w:val="99"/>
    <w:unhideWhenUsed/>
    <w:rPr>
      <w:vertAlign w:val="superscript"/>
    </w:rPr>
  </w:style>
  <w:style w:type="paragraph" w:styleId="787">
    <w:name w:val="endnote text"/>
    <w:basedOn w:val="801"/>
    <w:link w:val="788"/>
    <w:uiPriority w:val="99"/>
    <w:semiHidden/>
    <w:unhideWhenUsed/>
    <w:rPr>
      <w:sz w:val="20"/>
    </w:rPr>
    <w:pPr>
      <w:spacing w:lineRule="auto" w:line="240" w:after="0"/>
    </w:pPr>
  </w:style>
  <w:style w:type="character" w:styleId="788">
    <w:name w:val="Endnote Text Char"/>
    <w:link w:val="787"/>
    <w:uiPriority w:val="99"/>
    <w:rPr>
      <w:sz w:val="20"/>
    </w:rPr>
  </w:style>
  <w:style w:type="character" w:styleId="789">
    <w:name w:val="endnote reference"/>
    <w:uiPriority w:val="99"/>
    <w:semiHidden/>
    <w:unhideWhenUsed/>
    <w:rPr>
      <w:vertAlign w:val="superscript"/>
    </w:rPr>
  </w:style>
  <w:style w:type="paragraph" w:styleId="790">
    <w:name w:val="toc 1"/>
    <w:basedOn w:val="801"/>
    <w:next w:val="801"/>
    <w:uiPriority w:val="39"/>
    <w:unhideWhenUsed/>
    <w:pPr>
      <w:ind w:left="0" w:right="0" w:firstLine="0"/>
      <w:spacing w:after="57"/>
    </w:pPr>
  </w:style>
  <w:style w:type="paragraph" w:styleId="791">
    <w:name w:val="toc 2"/>
    <w:basedOn w:val="801"/>
    <w:next w:val="801"/>
    <w:uiPriority w:val="39"/>
    <w:unhideWhenUsed/>
    <w:pPr>
      <w:ind w:left="283" w:right="0" w:firstLine="0"/>
      <w:spacing w:after="57"/>
    </w:pPr>
  </w:style>
  <w:style w:type="paragraph" w:styleId="792">
    <w:name w:val="toc 3"/>
    <w:basedOn w:val="801"/>
    <w:next w:val="801"/>
    <w:uiPriority w:val="39"/>
    <w:unhideWhenUsed/>
    <w:pPr>
      <w:ind w:left="567" w:right="0" w:firstLine="0"/>
      <w:spacing w:after="57"/>
    </w:pPr>
  </w:style>
  <w:style w:type="paragraph" w:styleId="793">
    <w:name w:val="toc 4"/>
    <w:basedOn w:val="801"/>
    <w:next w:val="801"/>
    <w:uiPriority w:val="39"/>
    <w:unhideWhenUsed/>
    <w:pPr>
      <w:ind w:left="850" w:right="0" w:firstLine="0"/>
      <w:spacing w:after="57"/>
    </w:pPr>
  </w:style>
  <w:style w:type="paragraph" w:styleId="794">
    <w:name w:val="toc 5"/>
    <w:basedOn w:val="801"/>
    <w:next w:val="801"/>
    <w:uiPriority w:val="39"/>
    <w:unhideWhenUsed/>
    <w:pPr>
      <w:ind w:left="1134" w:right="0" w:firstLine="0"/>
      <w:spacing w:after="57"/>
    </w:pPr>
  </w:style>
  <w:style w:type="paragraph" w:styleId="795">
    <w:name w:val="toc 6"/>
    <w:basedOn w:val="801"/>
    <w:next w:val="801"/>
    <w:uiPriority w:val="39"/>
    <w:unhideWhenUsed/>
    <w:pPr>
      <w:ind w:left="1417" w:right="0" w:firstLine="0"/>
      <w:spacing w:after="57"/>
    </w:pPr>
  </w:style>
  <w:style w:type="paragraph" w:styleId="796">
    <w:name w:val="toc 7"/>
    <w:basedOn w:val="801"/>
    <w:next w:val="801"/>
    <w:uiPriority w:val="39"/>
    <w:unhideWhenUsed/>
    <w:pPr>
      <w:ind w:left="1701" w:right="0" w:firstLine="0"/>
      <w:spacing w:after="57"/>
    </w:pPr>
  </w:style>
  <w:style w:type="paragraph" w:styleId="797">
    <w:name w:val="toc 8"/>
    <w:basedOn w:val="801"/>
    <w:next w:val="801"/>
    <w:uiPriority w:val="39"/>
    <w:unhideWhenUsed/>
    <w:pPr>
      <w:ind w:left="1984" w:right="0" w:firstLine="0"/>
      <w:spacing w:after="57"/>
    </w:pPr>
  </w:style>
  <w:style w:type="paragraph" w:styleId="798">
    <w:name w:val="toc 9"/>
    <w:basedOn w:val="801"/>
    <w:next w:val="801"/>
    <w:uiPriority w:val="39"/>
    <w:unhideWhenUsed/>
    <w:pPr>
      <w:ind w:left="2268" w:right="0" w:firstLine="0"/>
      <w:spacing w:after="57"/>
    </w:pPr>
  </w:style>
  <w:style w:type="paragraph" w:styleId="799">
    <w:name w:val="TOC Heading"/>
    <w:uiPriority w:val="39"/>
    <w:unhideWhenUsed/>
  </w:style>
  <w:style w:type="paragraph" w:styleId="800">
    <w:name w:val="table of figures"/>
    <w:basedOn w:val="801"/>
    <w:next w:val="801"/>
    <w:uiPriority w:val="99"/>
    <w:unhideWhenUsed/>
    <w:pPr>
      <w:spacing w:after="0" w:afterAutospacing="0"/>
    </w:pPr>
  </w:style>
  <w:style w:type="paragraph" w:styleId="801" w:default="1">
    <w:name w:val="Normal"/>
    <w:qFormat/>
  </w:style>
  <w:style w:type="paragraph" w:styleId="802">
    <w:name w:val="Heading 1"/>
    <w:basedOn w:val="801"/>
    <w:next w:val="801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3">
    <w:name w:val="Heading 2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4">
    <w:name w:val="Heading 3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5">
    <w:name w:val="Heading 4"/>
    <w:basedOn w:val="801"/>
    <w:next w:val="801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6">
    <w:name w:val="Heading 5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7">
    <w:name w:val="Heading 6"/>
    <w:basedOn w:val="801"/>
    <w:next w:val="801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8">
    <w:name w:val="Heading 7"/>
    <w:basedOn w:val="801"/>
    <w:next w:val="801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9">
    <w:name w:val="Heading 8"/>
    <w:basedOn w:val="801"/>
    <w:next w:val="801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10">
    <w:name w:val="Heading 9"/>
    <w:basedOn w:val="801"/>
    <w:next w:val="801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Footer"/>
    <w:basedOn w:val="80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4">
    <w:name w:val="Header"/>
    <w:basedOn w:val="80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5">
    <w:name w:val="No Spacing"/>
    <w:basedOn w:val="801"/>
    <w:qFormat/>
    <w:uiPriority w:val="1"/>
    <w:pPr>
      <w:spacing w:lineRule="auto" w:line="240" w:after="0"/>
    </w:pPr>
  </w:style>
  <w:style w:type="paragraph" w:styleId="816">
    <w:name w:val="Quote"/>
    <w:basedOn w:val="801"/>
    <w:next w:val="80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7">
    <w:name w:val="Subtitle"/>
    <w:basedOn w:val="801"/>
    <w:next w:val="801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8">
    <w:name w:val="Intense Quote"/>
    <w:basedOn w:val="801"/>
    <w:next w:val="80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9">
    <w:name w:val="Title"/>
    <w:basedOn w:val="801"/>
    <w:next w:val="801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20">
    <w:name w:val="List Paragraph"/>
    <w:basedOn w:val="801"/>
    <w:qFormat/>
    <w:uiPriority w:val="34"/>
    <w:pPr>
      <w:contextualSpacing w:val="true"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2021-11-19T10:10:51Z</dcterms:modified>
</cp:coreProperties>
</file>