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Introduction - 3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абзац)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/>
    </w:p>
    <w:p>
      <w:pPr>
        <w:ind w:firstLine="708"/>
        <w:jc w:val="both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lang w:val="ru-RU"/>
        </w:rPr>
        <w:t xml:space="preserve">В этой статье мы решаем данную проблему и предостав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ляем новую количественную структуру для анализа 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связи безопасности и производительности с различными алгоритмами консенсуса и параметрами сети в блокчейнах, основанных на доказательстве работы (далее - 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блокчейнов). 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Используя нашу структуру, мы зафиксировали параметры безопасности как существующих реализаций 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PoW 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(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например, 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Bitcoin, Ethereum, Litecoin, Dogecoin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)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так и иных возможных реализаций с различными консенсусами и параметрами сети.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firstLine="708"/>
        <w:jc w:val="both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Наша структура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см. Рисунок 1) состоит из двух ключевых элементов: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I)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экземпляр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блокчейна и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(II)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модель безопасности блокчейна. Реализация блокчейна - это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блокчейн в совокупности с предоставленным набором параметров консенсуса и сети, таких как задержка сети, время генерации блока, размер блока, механизм распространения информации и т.д. Например,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Bitcoin, Litecoin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Etherium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соответствуют 3 различным реализациям блокчейна. Для того, чтобы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реалистично воссоздать любую другую реализацию блокчейна, мы разработали симулятор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, который э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митирует консенсус и сетевой слой, реализуя,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среди прочего,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рекламо-подобный механизм распространения информации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незапро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шенное выдвижение блоков, ретрансляционную сеть, механизм распространения заголовков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/>
    </w:p>
    <w:p>
      <w:pPr>
        <w:ind w:firstLine="708"/>
        <w:jc w:val="both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Основной выходной параметр реализации блокчейна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(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измеренный или симулированный)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- скорость устаревания (утери) блоков, котор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ые поступают в нашу модель безопасности. С другой стороны, наша модель безопасности основана на Марковском процессе принятия решений  для двойной траты и эгоистичного майнинга и позволяет нам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рассуждать об оптимальных конкурентных стратегиях, принимая во внимание мощность конкурентного майнинга, влияние атак затмения, награду за блоки, параметры реальной сети и консенсуса - эффективно отраженные в скорости устаревания блоков.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/>
    </w:p>
    <w:p>
      <w:pPr>
        <w:ind w:firstLine="708"/>
        <w:jc w:val="both"/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Учитывая текущие дискуссии в сообществе Биткоина о подходящем максимальном размере блока, обеспечивающем масштабируемость и рост системы, наша работа позволяет целостно сравнить безопасность и эффективность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PoW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-блокчейнов при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различных параметрах - включая размер блока.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Например, мы обнаружили, что увеличение размера блока от текущей загрузки транзакций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Bitcoin (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в среднем - 0.5 МБ) до 4 МБ не оказывает значительного влияния на эгоистичный майнинг и устойчивость блокчейна к двойной трате, при условии, что механизм распространения блоков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обеспечивает низкую скорость устаревания блоков.</w:t>
      </w:r>
      <w:r>
        <w:rPr>
          <w:rFonts w:ascii="Arial" w:hAnsi="Arial" w:cs="Arial" w:eastAsia="Arial"/>
          <w:color w:val="000000"/>
          <w:sz w:val="36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Мы резюмируем наши выводы следующим образом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4"/>
          <w:highlight w:val="black"/>
        </w:rPr>
      </w:r>
      <w:r/>
    </w:p>
    <w:p>
      <w:pPr>
        <w:ind w:firstLine="0"/>
        <w:jc w:val="both"/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Краткое изложение выводов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  <w:r/>
    </w:p>
    <w:p>
      <w:pPr>
        <w:pStyle w:val="820"/>
        <w:numPr>
          <w:ilvl w:val="0"/>
          <w:numId w:val="1"/>
        </w:numPr>
        <w:ind w:left="0" w:right="0" w:firstLine="0"/>
        <w:jc w:val="both"/>
        <w:rPr>
          <w:rFonts w:ascii="Times New Roman" w:hAnsi="Times New Roman" w:cs="Times New Roman" w:eastAsia="Times New Roman"/>
          <w:b w:val="false"/>
          <w:sz w:val="24"/>
          <w:highlight w:val="none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Мы показали, что эгоистичный майнинг не всегда является рациональной стратегией.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Поэтому, ч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тобы зафиксировать рациональные альтернативы, мы подсчитываем устойчивость к двойной трате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блокчейнов и объективно сравниваем безопасность различных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блокчейнов по отношению к необходимому числу подтверждений транзакций. Делая так,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мы снабжаем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финансистов знаниями для принятия решения о числе подтверждений предоставленно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го значения транзакции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необходимом для обеспечения безопасности против двойной траты.</w:t>
      </w:r>
      <w:r>
        <w:rPr>
          <w:rFonts w:ascii="Times New Roman" w:hAnsi="Times New Roman" w:cs="Times New Roman" w:eastAsia="Times New Roman"/>
          <w:b w:val="false"/>
          <w:sz w:val="24"/>
          <w:highlight w:val="none"/>
        </w:rPr>
      </w:r>
      <w:r/>
    </w:p>
    <w:p>
      <w:pPr>
        <w:pStyle w:val="820"/>
        <w:numPr>
          <w:ilvl w:val="0"/>
          <w:numId w:val="1"/>
        </w:numPr>
        <w:ind w:left="0" w:right="0" w:firstLine="0"/>
        <w:jc w:val="both"/>
        <w:rPr>
          <w:rFonts w:ascii="Times New Roman" w:hAnsi="Times New Roman" w:cs="Times New Roman" w:eastAsia="Times New Roman"/>
          <w:b w:val="false"/>
          <w:sz w:val="24"/>
          <w:highlight w:val="none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Наши результаты показывают, что по причине меньших наград за блоки и большей скорости устаревания блоков в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Ethereum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по сравнению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c Bitcoin (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от 0.41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%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до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6.8%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в силу более короткого времени подтверждения),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Ethereum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(интервал между блоками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в диапазоне 10-20 секунд) требует по крайней мере 37 подтверждений, чтобы достичь безопасности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Bitcoin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(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интервал  между блоками в среднем 10 минут) с 6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подтверждениями против конкурента с 30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%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всей майнинговой мощности. Аналогично,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Litecoin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потребует 28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a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Dogecoin 47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подтверждений блоков соответственно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, чтобы соответствовать безопасности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Bitcoin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  <w:r/>
    </w:p>
    <w:p>
      <w:pPr>
        <w:pStyle w:val="820"/>
        <w:numPr>
          <w:ilvl w:val="0"/>
          <w:numId w:val="1"/>
        </w:numPr>
        <w:ind w:left="0" w:right="0" w:firstLine="0"/>
        <w:jc w:val="both"/>
        <w:rPr>
          <w:rFonts w:ascii="Times New Roman" w:hAnsi="Times New Roman" w:cs="Times New Roman" w:eastAsia="Times New Roman"/>
          <w:b w:val="false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Мы показываем, что чем больше награда за блок в блокчейне (в, например, долларах США), тем он более устойчив против двойной траты.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  <w:r/>
    </w:p>
    <w:p>
      <w:pPr>
        <w:pStyle w:val="820"/>
        <w:numPr>
          <w:ilvl w:val="0"/>
          <w:numId w:val="1"/>
        </w:numPr>
        <w:ind w:left="0" w:right="0" w:firstLine="0"/>
        <w:jc w:val="both"/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В заключение, мы анализируем влияние изменяющегося размера блока и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/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или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межблочного интервала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на эгоистичный майнинг и двойную трату.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Наши результаты, к удивлению, показывают, что установка размера блока в среднем на 1 МБ и уменьшение межблочного интервала до 1 минуты не снижает безопасность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значительно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. Поэтому, наши результаты показывают, что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блокчейны могут достичь эффективной пропускной способности более 60 транзакций в секунду (т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/c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что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означает, что текущая пропускная способность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Bitcoin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в 7 т/с может быть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существенно увеличена)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без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ущерба для безопасности системы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ab/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Оставшаяся часть статьи организована следующим образом. В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Разделе 2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мы обозреваем базовую концепцию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, лежащую в основе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блокчейна, в Разделе 3 мы представляем нашу модель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Марковского процесса принятия решений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для количественного анализа безопасности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блокчейнов. В Разделе 4, мы представляем наш симулятор и оцениваем безопасность и производительность нескольких вариантов реализаций блокчейнов, основанных на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PoW.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В Разделе 5, мы обозреваем связанную работу и мы приходим к заключению статьи в Разделе 6.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en-US"/>
        </w:rPr>
        <w:t xml:space="preserve">2. 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 xml:space="preserve">Основа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ab/>
        <w:t xml:space="preserve">В данном разделе мы кратко излагаем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операции уровня консенсуса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и сетевого уровня существующих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блокчейнов.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en-US"/>
        </w:rPr>
        <w:t xml:space="preserve">2.1 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 xml:space="preserve">Уровень консенсуса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ab/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Доказательство работы (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PoW)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- самый широко развитый механизм консенсуса в существующих блокчейнах.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был впервые представлен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Bitcoin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и предполагает, что каждый участник одноранговой сети голосует своей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“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вычислительной мощностью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”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решая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задачу доказательства работы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и конструируя приемлемые блоки.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Bitcoin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например, использует механизм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основанный на хеш-функциях, что подразумевает поиск такого значения параметра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nonc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e,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при котором он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, хешированный с дополнительными параметрами блока (например, хеш-функцией Меркла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хешем-функцией предыдущего блока), даст значение хеш-функции меньшее, чем текущее целевое значение. Когда такой параметр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nonce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найден,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майнер создает блок и передает его на уровень сети (см. Раздел 2.2) соседним участникам одноранговой сети. Другие участники одноранговой сети могут подтвердить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посчитав хеш-функцию блока и проверить, меньше ли она, чем текущее целевое значение.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2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0">
    <w:name w:val="Heading 1 Char"/>
    <w:link w:val="802"/>
    <w:uiPriority w:val="9"/>
    <w:rPr>
      <w:rFonts w:ascii="Arial" w:hAnsi="Arial" w:cs="Arial" w:eastAsia="Arial"/>
      <w:sz w:val="40"/>
      <w:szCs w:val="40"/>
    </w:rPr>
  </w:style>
  <w:style w:type="character" w:styleId="641">
    <w:name w:val="Heading 2 Char"/>
    <w:link w:val="803"/>
    <w:uiPriority w:val="9"/>
    <w:rPr>
      <w:rFonts w:ascii="Arial" w:hAnsi="Arial" w:cs="Arial" w:eastAsia="Arial"/>
      <w:sz w:val="34"/>
    </w:rPr>
  </w:style>
  <w:style w:type="character" w:styleId="642">
    <w:name w:val="Heading 3 Char"/>
    <w:link w:val="804"/>
    <w:uiPriority w:val="9"/>
    <w:rPr>
      <w:rFonts w:ascii="Arial" w:hAnsi="Arial" w:cs="Arial" w:eastAsia="Arial"/>
      <w:sz w:val="30"/>
      <w:szCs w:val="30"/>
    </w:rPr>
  </w:style>
  <w:style w:type="character" w:styleId="643">
    <w:name w:val="Heading 4 Char"/>
    <w:link w:val="805"/>
    <w:uiPriority w:val="9"/>
    <w:rPr>
      <w:rFonts w:ascii="Arial" w:hAnsi="Arial" w:cs="Arial" w:eastAsia="Arial"/>
      <w:b/>
      <w:bCs/>
      <w:sz w:val="26"/>
      <w:szCs w:val="26"/>
    </w:rPr>
  </w:style>
  <w:style w:type="character" w:styleId="644">
    <w:name w:val="Heading 5 Char"/>
    <w:link w:val="806"/>
    <w:uiPriority w:val="9"/>
    <w:rPr>
      <w:rFonts w:ascii="Arial" w:hAnsi="Arial" w:cs="Arial" w:eastAsia="Arial"/>
      <w:b/>
      <w:bCs/>
      <w:sz w:val="24"/>
      <w:szCs w:val="24"/>
    </w:rPr>
  </w:style>
  <w:style w:type="character" w:styleId="645">
    <w:name w:val="Heading 6 Char"/>
    <w:link w:val="807"/>
    <w:uiPriority w:val="9"/>
    <w:rPr>
      <w:rFonts w:ascii="Arial" w:hAnsi="Arial" w:cs="Arial" w:eastAsia="Arial"/>
      <w:b/>
      <w:bCs/>
      <w:sz w:val="22"/>
      <w:szCs w:val="22"/>
    </w:rPr>
  </w:style>
  <w:style w:type="character" w:styleId="646">
    <w:name w:val="Heading 7 Char"/>
    <w:link w:val="80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8 Char"/>
    <w:link w:val="809"/>
    <w:uiPriority w:val="9"/>
    <w:rPr>
      <w:rFonts w:ascii="Arial" w:hAnsi="Arial" w:cs="Arial" w:eastAsia="Arial"/>
      <w:i/>
      <w:iCs/>
      <w:sz w:val="22"/>
      <w:szCs w:val="22"/>
    </w:rPr>
  </w:style>
  <w:style w:type="character" w:styleId="648">
    <w:name w:val="Heading 9 Char"/>
    <w:link w:val="810"/>
    <w:uiPriority w:val="9"/>
    <w:rPr>
      <w:rFonts w:ascii="Arial" w:hAnsi="Arial" w:cs="Arial" w:eastAsia="Arial"/>
      <w:i/>
      <w:iCs/>
      <w:sz w:val="21"/>
      <w:szCs w:val="21"/>
    </w:rPr>
  </w:style>
  <w:style w:type="character" w:styleId="649">
    <w:name w:val="Title Char"/>
    <w:link w:val="819"/>
    <w:uiPriority w:val="10"/>
    <w:rPr>
      <w:sz w:val="48"/>
      <w:szCs w:val="48"/>
    </w:rPr>
  </w:style>
  <w:style w:type="character" w:styleId="650">
    <w:name w:val="Subtitle Char"/>
    <w:link w:val="817"/>
    <w:uiPriority w:val="11"/>
    <w:rPr>
      <w:sz w:val="24"/>
      <w:szCs w:val="24"/>
    </w:rPr>
  </w:style>
  <w:style w:type="character" w:styleId="651">
    <w:name w:val="Quote Char"/>
    <w:link w:val="816"/>
    <w:uiPriority w:val="29"/>
    <w:rPr>
      <w:i/>
    </w:rPr>
  </w:style>
  <w:style w:type="character" w:styleId="652">
    <w:name w:val="Intense Quote Char"/>
    <w:link w:val="818"/>
    <w:uiPriority w:val="30"/>
    <w:rPr>
      <w:i/>
    </w:rPr>
  </w:style>
  <w:style w:type="character" w:styleId="653">
    <w:name w:val="Header Char"/>
    <w:link w:val="814"/>
    <w:uiPriority w:val="99"/>
  </w:style>
  <w:style w:type="character" w:styleId="654">
    <w:name w:val="Footer Char"/>
    <w:link w:val="813"/>
    <w:uiPriority w:val="99"/>
  </w:style>
  <w:style w:type="paragraph" w:styleId="655">
    <w:name w:val="Caption"/>
    <w:basedOn w:val="801"/>
    <w:next w:val="80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6">
    <w:name w:val="Caption Char"/>
    <w:basedOn w:val="655"/>
    <w:link w:val="813"/>
    <w:uiPriority w:val="99"/>
  </w:style>
  <w:style w:type="table" w:styleId="657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8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9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0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1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2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4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6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7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8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9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0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91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2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93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94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95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6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7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8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9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0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1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2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3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4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5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6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21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2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3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4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5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6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7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9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0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51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2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3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4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5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6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7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8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9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0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61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2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3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4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5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6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7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8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9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0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1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2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3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4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5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6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7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8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9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0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81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2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3">
    <w:name w:val="Hyperlink"/>
    <w:uiPriority w:val="99"/>
    <w:unhideWhenUsed/>
    <w:rPr>
      <w:color w:val="0000FF" w:themeColor="hyperlink"/>
      <w:u w:val="single"/>
    </w:rPr>
  </w:style>
  <w:style w:type="paragraph" w:styleId="784">
    <w:name w:val="footnote text"/>
    <w:basedOn w:val="801"/>
    <w:link w:val="785"/>
    <w:uiPriority w:val="99"/>
    <w:semiHidden/>
    <w:unhideWhenUsed/>
    <w:rPr>
      <w:sz w:val="18"/>
    </w:rPr>
    <w:pPr>
      <w:spacing w:lineRule="auto" w:line="240" w:after="40"/>
    </w:pPr>
  </w:style>
  <w:style w:type="character" w:styleId="785">
    <w:name w:val="Footnote Text Char"/>
    <w:link w:val="784"/>
    <w:uiPriority w:val="99"/>
    <w:rPr>
      <w:sz w:val="18"/>
    </w:rPr>
  </w:style>
  <w:style w:type="character" w:styleId="786">
    <w:name w:val="footnote reference"/>
    <w:uiPriority w:val="99"/>
    <w:unhideWhenUsed/>
    <w:rPr>
      <w:vertAlign w:val="superscript"/>
    </w:rPr>
  </w:style>
  <w:style w:type="paragraph" w:styleId="787">
    <w:name w:val="endnote text"/>
    <w:basedOn w:val="801"/>
    <w:link w:val="788"/>
    <w:uiPriority w:val="99"/>
    <w:semiHidden/>
    <w:unhideWhenUsed/>
    <w:rPr>
      <w:sz w:val="20"/>
    </w:rPr>
    <w:pPr>
      <w:spacing w:lineRule="auto" w:line="240" w:after="0"/>
    </w:pPr>
  </w:style>
  <w:style w:type="character" w:styleId="788">
    <w:name w:val="Endnote Text Char"/>
    <w:link w:val="787"/>
    <w:uiPriority w:val="99"/>
    <w:rPr>
      <w:sz w:val="20"/>
    </w:rPr>
  </w:style>
  <w:style w:type="character" w:styleId="789">
    <w:name w:val="endnote reference"/>
    <w:uiPriority w:val="99"/>
    <w:semiHidden/>
    <w:unhideWhenUsed/>
    <w:rPr>
      <w:vertAlign w:val="superscript"/>
    </w:rPr>
  </w:style>
  <w:style w:type="paragraph" w:styleId="790">
    <w:name w:val="toc 1"/>
    <w:basedOn w:val="801"/>
    <w:next w:val="801"/>
    <w:uiPriority w:val="39"/>
    <w:unhideWhenUsed/>
    <w:pPr>
      <w:ind w:left="0" w:right="0" w:firstLine="0"/>
      <w:spacing w:after="57"/>
    </w:pPr>
  </w:style>
  <w:style w:type="paragraph" w:styleId="791">
    <w:name w:val="toc 2"/>
    <w:basedOn w:val="801"/>
    <w:next w:val="801"/>
    <w:uiPriority w:val="39"/>
    <w:unhideWhenUsed/>
    <w:pPr>
      <w:ind w:left="283" w:right="0" w:firstLine="0"/>
      <w:spacing w:after="57"/>
    </w:pPr>
  </w:style>
  <w:style w:type="paragraph" w:styleId="792">
    <w:name w:val="toc 3"/>
    <w:basedOn w:val="801"/>
    <w:next w:val="801"/>
    <w:uiPriority w:val="39"/>
    <w:unhideWhenUsed/>
    <w:pPr>
      <w:ind w:left="567" w:right="0" w:firstLine="0"/>
      <w:spacing w:after="57"/>
    </w:pPr>
  </w:style>
  <w:style w:type="paragraph" w:styleId="793">
    <w:name w:val="toc 4"/>
    <w:basedOn w:val="801"/>
    <w:next w:val="801"/>
    <w:uiPriority w:val="39"/>
    <w:unhideWhenUsed/>
    <w:pPr>
      <w:ind w:left="850" w:right="0" w:firstLine="0"/>
      <w:spacing w:after="57"/>
    </w:pPr>
  </w:style>
  <w:style w:type="paragraph" w:styleId="794">
    <w:name w:val="toc 5"/>
    <w:basedOn w:val="801"/>
    <w:next w:val="801"/>
    <w:uiPriority w:val="39"/>
    <w:unhideWhenUsed/>
    <w:pPr>
      <w:ind w:left="1134" w:right="0" w:firstLine="0"/>
      <w:spacing w:after="57"/>
    </w:pPr>
  </w:style>
  <w:style w:type="paragraph" w:styleId="795">
    <w:name w:val="toc 6"/>
    <w:basedOn w:val="801"/>
    <w:next w:val="801"/>
    <w:uiPriority w:val="39"/>
    <w:unhideWhenUsed/>
    <w:pPr>
      <w:ind w:left="1417" w:right="0" w:firstLine="0"/>
      <w:spacing w:after="57"/>
    </w:pPr>
  </w:style>
  <w:style w:type="paragraph" w:styleId="796">
    <w:name w:val="toc 7"/>
    <w:basedOn w:val="801"/>
    <w:next w:val="801"/>
    <w:uiPriority w:val="39"/>
    <w:unhideWhenUsed/>
    <w:pPr>
      <w:ind w:left="1701" w:right="0" w:firstLine="0"/>
      <w:spacing w:after="57"/>
    </w:pPr>
  </w:style>
  <w:style w:type="paragraph" w:styleId="797">
    <w:name w:val="toc 8"/>
    <w:basedOn w:val="801"/>
    <w:next w:val="801"/>
    <w:uiPriority w:val="39"/>
    <w:unhideWhenUsed/>
    <w:pPr>
      <w:ind w:left="1984" w:right="0" w:firstLine="0"/>
      <w:spacing w:after="57"/>
    </w:pPr>
  </w:style>
  <w:style w:type="paragraph" w:styleId="798">
    <w:name w:val="toc 9"/>
    <w:basedOn w:val="801"/>
    <w:next w:val="801"/>
    <w:uiPriority w:val="39"/>
    <w:unhideWhenUsed/>
    <w:pPr>
      <w:ind w:left="2268" w:right="0" w:firstLine="0"/>
      <w:spacing w:after="57"/>
    </w:pPr>
  </w:style>
  <w:style w:type="paragraph" w:styleId="799">
    <w:name w:val="TOC Heading"/>
    <w:uiPriority w:val="39"/>
    <w:unhideWhenUsed/>
  </w:style>
  <w:style w:type="paragraph" w:styleId="800">
    <w:name w:val="table of figures"/>
    <w:basedOn w:val="801"/>
    <w:next w:val="801"/>
    <w:uiPriority w:val="99"/>
    <w:unhideWhenUsed/>
    <w:pPr>
      <w:spacing w:after="0" w:afterAutospacing="0"/>
    </w:pPr>
  </w:style>
  <w:style w:type="paragraph" w:styleId="801" w:default="1">
    <w:name w:val="Normal"/>
    <w:qFormat/>
  </w:style>
  <w:style w:type="paragraph" w:styleId="802">
    <w:name w:val="Heading 1"/>
    <w:basedOn w:val="801"/>
    <w:next w:val="801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03">
    <w:name w:val="Heading 2"/>
    <w:basedOn w:val="801"/>
    <w:next w:val="801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4">
    <w:name w:val="Heading 3"/>
    <w:basedOn w:val="801"/>
    <w:next w:val="801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5">
    <w:name w:val="Heading 4"/>
    <w:basedOn w:val="801"/>
    <w:next w:val="801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6">
    <w:name w:val="Heading 5"/>
    <w:basedOn w:val="801"/>
    <w:next w:val="801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7">
    <w:name w:val="Heading 6"/>
    <w:basedOn w:val="801"/>
    <w:next w:val="801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8">
    <w:name w:val="Heading 7"/>
    <w:basedOn w:val="801"/>
    <w:next w:val="801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9">
    <w:name w:val="Heading 8"/>
    <w:basedOn w:val="801"/>
    <w:next w:val="801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10">
    <w:name w:val="Heading 9"/>
    <w:basedOn w:val="801"/>
    <w:next w:val="801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Footer"/>
    <w:basedOn w:val="80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4">
    <w:name w:val="Header"/>
    <w:basedOn w:val="80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5">
    <w:name w:val="No Spacing"/>
    <w:basedOn w:val="801"/>
    <w:qFormat/>
    <w:uiPriority w:val="1"/>
    <w:pPr>
      <w:spacing w:lineRule="auto" w:line="240" w:after="0"/>
    </w:pPr>
  </w:style>
  <w:style w:type="paragraph" w:styleId="816">
    <w:name w:val="Quote"/>
    <w:basedOn w:val="801"/>
    <w:next w:val="80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7">
    <w:name w:val="Subtitle"/>
    <w:basedOn w:val="801"/>
    <w:next w:val="801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8">
    <w:name w:val="Intense Quote"/>
    <w:basedOn w:val="801"/>
    <w:next w:val="80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9">
    <w:name w:val="Title"/>
    <w:basedOn w:val="801"/>
    <w:next w:val="801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20">
    <w:name w:val="List Paragraph"/>
    <w:basedOn w:val="801"/>
    <w:qFormat/>
    <w:uiPriority w:val="34"/>
    <w:pPr>
      <w:contextualSpacing w:val="true"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2021-09-28T08:08:32Z</dcterms:modified>
</cp:coreProperties>
</file>