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Introduction - 3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абзац)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lang w:val="ru-RU"/>
        </w:rPr>
        <w:t xml:space="preserve">В этой статье мы решаем данную проблему и предостав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ляем новую количественную структуру для анализа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связи безопасности и производительности с различными алгоритмами консенсуса и параметрами сети блокчейнов, основанных на доказательстве работы (далее -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блокчейнов).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Используя нашу структуру, мы зафиксировали параметры безопасности как существующих реализаций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PoW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(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например, 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Bitcoin, Etherium, Litecoin, Dogecoin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так и возможных реализаций с различными консенсусами и параметрами сети.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Наша структура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см. Рисунок 1) состоит из двух ключевых элементов: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I)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экземпляр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блокчейна 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(II)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модель безопасности блокчейна. Реализация блокчейна - это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PoW-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блокчейн в совокупности с предоставленным набором параметров консенсуса и сети, таких как задержка сети, время генерации блока, размер блока, механизм распространения информации и т.д. Например,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Bitcoin, Litecoin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Etherium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соответствуют 3 различным реализациям блокчейна. Для того, чтобы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реалистично воссоздать любую другую реализацию блокчейна, мы разработали симулятор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который эмитирует консенсус и сетевой слой, реализуя,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среди прочего,</w:t>
      </w:r>
      <w:r/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yellow"/>
          <w:lang w:val="ru-RU"/>
        </w:rPr>
        <w:t xml:space="preserve">рекламо-подобный механизм распространения информации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незапрошенное выдвижение блоков, ретрансляционную сеть, механизм распространения заголовков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Основной выходной параметр реализации блокчейна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измеренный или симулированный)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- скорость устаревания(утери) блоков, которая поступает в модель безопасности. С другой стороны, наша модель безопасности основана на Марковском процессе принятия решений  для двойной траты и эгоистичного майнинга и позволяет нам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рассуждать об оптимальных состязательных стратегиях принимая во внимание мощность состязательного майнинга, влияние атак затмения, награду за блоки, параметры реальной сети и консенсуса - эффективно зафиксированные за счет скорости устаревания блоков.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ind w:firstLine="708"/>
        <w:jc w:val="both"/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2021-09-24T16:42:18Z</dcterms:modified>
</cp:coreProperties>
</file>