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2912500</wp:posOffset>
                </wp:positionH>
                <wp:positionV relativeFrom="paragraph">
                  <wp:posOffset>76011</wp:posOffset>
                </wp:positionV>
                <wp:extent cx="1506970" cy="1439766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296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36830" t="27192" r="29705" b="15969"/>
                        <a:stretch/>
                      </pic:blipFill>
                      <pic:spPr bwMode="auto">
                        <a:xfrm flipH="0" flipV="0">
                          <a:off x="0" y="0"/>
                          <a:ext cx="1506970" cy="143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229.3pt;mso-position-horizontal:absolute;mso-position-vertical-relative:text;margin-top:6.0pt;mso-position-vertical:absolute;width:118.7pt;height:11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  <w:shd w:val="clear" w:color="FFFFFF" w:fill="FFFFFF" w:themeFill="background1" w:themeColor="background1"/>
        </w:rPr>
        <w:tab/>
        <w:tab/>
        <w:tab/>
        <w:tab/>
      </w:r>
      <w:r>
        <w:rPr>
          <w:sz w:val="28"/>
          <w:highlight w:val="none"/>
          <w:shd w:val="clear" w:color="FFFFFF" w:fill="FFFFFF" w:themeFill="background1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</w:t>
      </w:r>
      <w:r>
        <w:rPr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numPr>
          <w:ilvl w:val="0"/>
          <w:numId w:val="12"/>
        </w:numPr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  <w:t xml:space="preserve">.</w:t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numPr>
          <w:ilvl w:val="0"/>
          <w:numId w:val="13"/>
        </w:numPr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3"/>
        </w:numPr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3"/>
        </w:numPr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numPr>
          <w:ilvl w:val="0"/>
          <w:numId w:val="13"/>
        </w:numPr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numPr>
          <w:ilvl w:val="0"/>
          <w:numId w:val="13"/>
        </w:numPr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модератором).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numPr>
          <w:ilvl w:val="0"/>
          <w:numId w:val="14"/>
        </w:numPr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</w:rPr>
      </w:r>
      <w:r/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  <w:r/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  <w:r/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/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веб-приложения;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 Схема структурная чат-бота;</w:t>
      </w:r>
      <w:r>
        <w:rPr>
          <w:highlight w:val="none"/>
        </w:rPr>
      </w:r>
      <w:r/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 веб-приложения;</w:t>
      </w:r>
      <w:r>
        <w:rPr>
          <w:highlight w:val="none"/>
        </w:rPr>
      </w:r>
      <w:r/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5.3.4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 чат-бота;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5.3.5 </w:t>
      </w:r>
      <w:r>
        <w:rPr>
          <w:highlight w:val="none"/>
        </w:rPr>
        <w:t xml:space="preserve">Инфологическая схема базы данных;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5.3.6 Диаграмма состояний интерфейса веб-приложения;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5.3.7 Иерархия меню чат-бота;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5.3.8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Таблица структурного контроля чат-бота;</w:t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5.3.9 Таблица оценочного тестирования чат-бота;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5.3.10 Таблица оценочного тестирования веб-приложения;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ется и подписывается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2021-12-13T20:43:23Z</dcterms:modified>
</cp:coreProperties>
</file>