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0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30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30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7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30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0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</w:r>
      <w:r>
        <w:rPr>
          <w:sz w:val="32"/>
          <w:u w:val="single"/>
        </w:rPr>
        <w:t xml:space="preserve">Исследование синхронных счетчиков</w:t>
      </w:r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3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изучение принципов построения счетчиков, </w:t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овладение методом синтеза синхронных счетчиков, </w:t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экспериментальная оценка динамических параметров счетчиков, </w:t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изучение способов наращивания разрядности синхронных </w:t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счетчиков.</w:t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состояния счетчика: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2,3,4,5,6,7,8,9,10,11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)</w:t>
      </w:r>
      <w:r/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1. Исследование четырёхразрядного синхронного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суммирующего счётчика с параллельным переносом на Т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-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триггерах. Проверить работу счётчика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от одиночных импульсов, подключив к прямым выходам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разрядов световые индикаторы,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от импульсов генератора.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Просмотреть на экране логического анализатора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(осциллографа) временную диаграмму сигналов на входе и выходах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счетчика, провести анализ временной диаграммы сигналов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счетчика. Измерить время задержки распространения счетчика и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максимальную частоту счета.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09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Построим схему описанного счетчика (рисунок 1).</w:t>
      </w:r>
      <w:r/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0340" cy="266544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4874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50339" cy="2665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00.0pt;height:209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1 - </w:t>
      </w:r>
      <w:r>
        <w:rPr>
          <w:sz w:val="28"/>
          <w:highlight w:val="none"/>
          <w:lang w:val="ru-RU"/>
        </w:rPr>
        <w:t xml:space="preserve">Схема суммирующего счетчика с 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параллельным переносом </w:t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Проанализируем работу счетчика с помощью таблицы 1</w:t>
      </w:r>
      <w:r>
        <w:rPr>
          <w:sz w:val="28"/>
          <w:highlight w:val="none"/>
          <w:lang w:val="ru-RU"/>
        </w:rPr>
        <w:t xml:space="preserve">.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Таблица 1 - Таблица переходов счетчика</w:t>
      </w:r>
      <w:r>
        <w:rPr>
          <w:sz w:val="28"/>
          <w:highlight w:val="none"/>
          <w:lang w:val="ru-RU"/>
        </w:rPr>
      </w:r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Номер состояния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</w:t>
            </w:r>
            <w:r>
              <w:rPr>
                <w:sz w:val="28"/>
                <w:highlight w:val="none"/>
                <w:vertAlign w:val="subscript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baseline"/>
                <w:lang w:val="en-US"/>
              </w:rPr>
              <w:t xml:space="preserve">2</w:t>
            </w:r>
            <w:r>
              <w:rPr>
                <w:sz w:val="28"/>
                <w:highlight w:val="none"/>
                <w:vertAlign w:val="subscript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</w:t>
            </w:r>
            <w:r>
              <w:rPr>
                <w:sz w:val="28"/>
                <w:highlight w:val="none"/>
                <w:vertAlign w:val="subscript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Q0</w:t>
            </w:r>
            <w:r>
              <w:rPr>
                <w:sz w:val="28"/>
                <w:highlight w:val="none"/>
                <w:vertAlign w:val="subscript"/>
                <w:lang w:val="ru-RU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4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6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7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8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9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13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14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15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F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41507" cy="335226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3176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741506" cy="335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2.1pt;height:264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en-US"/>
        </w:rPr>
        <w:t xml:space="preserve">F</w:t>
      </w: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5400" cy="18002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0219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05399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02.0pt;height:141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en-US"/>
        </w:rPr>
        <w:t xml:space="preserve">F</w:t>
      </w:r>
      <w:r>
        <w:rPr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46672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00409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095874" cy="466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01.2pt;height:367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Задержка 1 мкс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2. Синтезировать двоично-десятичный счётчик с заданной </w:t>
      </w:r>
      <w:r>
        <w:rPr>
          <w:sz w:val="28"/>
          <w:highlight w:val="none"/>
          <w:lang w:val="ru-RU"/>
        </w:rPr>
        <w:t xml:space="preserve">последовательностью состояний. Последовательность состояний </w:t>
      </w:r>
      <w:r>
        <w:rPr>
          <w:sz w:val="28"/>
          <w:highlight w:val="none"/>
          <w:lang w:val="ru-RU"/>
        </w:rPr>
        <w:t xml:space="preserve">счётчика для каждого варианта работы приведена в табл.3;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десятичными числами обозначены номера двоичных наборов,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изображающие десятичные цифры и определяющие состояние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счётчика. Начертить схему счётчика на элементах интегрального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базиса (И-НЕ; И, ИЛИ, НЕ), синхронных JK-триггерах.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код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gridSpan w:val="4"/>
            <w:tcW w:w="218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Время </w:t>
            </w:r>
            <w:r>
              <w:rPr>
                <w:sz w:val="28"/>
                <w:highlight w:val="none"/>
                <w:lang w:val="en-US"/>
              </w:rPr>
              <w:t xml:space="preserve">t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gridSpan w:val="4"/>
            <w:tcW w:w="218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  <w:t xml:space="preserve">Время </w:t>
            </w:r>
            <w:r>
              <w:rPr>
                <w:sz w:val="28"/>
                <w:highlight w:val="none"/>
                <w:lang w:val="en-US"/>
              </w:rPr>
              <w:t xml:space="preserve">t+1</w:t>
            </w:r>
            <w:r/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gridSpan w:val="8"/>
            <w:tcW w:w="436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  <w:t xml:space="preserve">Время t, сигналы на JK-триггере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baseline"/>
                <w:lang w:val="en-US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left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J</w:t>
            </w: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K</w:t>
            </w: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J</w:t>
            </w: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K</w:t>
            </w: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J</w:t>
            </w: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K</w:t>
            </w: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J</w:t>
            </w: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K</w:t>
            </w: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ru-RU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ru-RU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  <w:r>
              <w:rPr>
                <w:highlight w:val="whit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4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ru-RU"/>
              </w:rPr>
              <w:t xml:space="preserve">1</w:t>
            </w:r>
            <w:r>
              <w:rPr>
                <w:sz w:val="28"/>
                <w:highlight w:val="white"/>
                <w:lang w:val="ru-RU"/>
              </w:rPr>
            </w:r>
            <w:r>
              <w:rPr>
                <w:highlight w:val="whit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ru-RU"/>
              </w:rPr>
              <w:t xml:space="preserve">1</w:t>
            </w:r>
            <w:r>
              <w:rPr>
                <w:sz w:val="28"/>
                <w:highlight w:val="white"/>
                <w:lang w:val="ru-RU"/>
              </w:rPr>
            </w:r>
            <w:r>
              <w:rPr>
                <w:highlight w:val="whit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6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1</w:t>
            </w:r>
            <w:r>
              <w:rPr>
                <w:sz w:val="28"/>
                <w:highlight w:val="whit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7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1</w:t>
            </w:r>
            <w:r>
              <w:rPr>
                <w:sz w:val="28"/>
                <w:highlight w:val="whit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8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9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highlight w:val="none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whit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white"/>
                <w:lang w:val="en-US"/>
              </w:rPr>
              <w:t xml:space="preserve">0</w:t>
            </w:r>
            <w:r>
              <w:rPr>
                <w:sz w:val="28"/>
                <w:highlight w:val="whit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55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C6E0B3" w:fill="C6E0B3" w:themeFill="accent6" w:themeFillTint="66" w:themeColor="accent6" w:themeTint="6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</w:tbl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2,3,4,5,6,7,8,9,10,11</w:t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Минимизируем полученные функции, воспользовавшись картами Карно.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 w:color="000000"/>
        <w:rPr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J0:</w:t>
      </w:r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shd w:val="nil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J0 = 1</w:t>
      </w:r>
      <w:r/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K0</w:t>
      </w:r>
      <w:r>
        <w:rPr>
          <w:sz w:val="28"/>
          <w:highlight w:val="none"/>
          <w:lang w:val="en-US"/>
        </w:rPr>
        <w:t xml:space="preserve">:</w:t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</w:tbl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  <w:t xml:space="preserve">K0 = 1</w:t>
      </w: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J1: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</w:tbl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  <w:t xml:space="preserve">J1 = Q0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K1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en-US"/>
        </w:rPr>
      </w:r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</w:tbl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K1 = not-Q3 *Q0</w:t>
      </w:r>
      <w:r>
        <w:rPr>
          <w:sz w:val="28"/>
          <w:highlight w:val="none"/>
          <w:lang w:val="en-US"/>
        </w:rPr>
      </w:r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shd w:val="nil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Д</w:t>
      </w:r>
      <w:r>
        <w:rPr>
          <w:sz w:val="28"/>
          <w:highlight w:val="none"/>
          <w:lang w:val="ru-RU"/>
        </w:rPr>
        <w:t xml:space="preserve">ля </w:t>
      </w:r>
      <w:r>
        <w:rPr>
          <w:sz w:val="28"/>
          <w:highlight w:val="none"/>
          <w:lang w:val="en-US"/>
        </w:rPr>
        <w:t xml:space="preserve">J2:</w:t>
      </w:r>
      <w:r/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  <w:t xml:space="preserve">J2 = not-Q3 * Q0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K2</w:t>
      </w:r>
      <w:r>
        <w:rPr>
          <w:sz w:val="28"/>
          <w:highlight w:val="none"/>
          <w:lang w:val="en-US"/>
        </w:rPr>
        <w:t xml:space="preserve">: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color w:val="auto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color w:val="auto"/>
                <w:sz w:val="28"/>
                <w:highlight w:val="none"/>
                <w:lang w:val="en-US"/>
              </w:rPr>
              <w:t xml:space="preserve">x</w:t>
            </w:r>
            <w:r>
              <w:rPr>
                <w:color w:val="auto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color w:val="auto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color w:val="auto"/>
                <w:sz w:val="28"/>
                <w:highlight w:val="none"/>
                <w:lang w:val="en-US"/>
              </w:rPr>
              <w:t xml:space="preserve">1</w:t>
            </w:r>
            <w:r>
              <w:rPr>
                <w:color w:val="auto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color w:val="auto"/>
                <w:highlight w:val="none"/>
              </w:rPr>
            </w:pPr>
            <w:r>
              <w:rPr>
                <w:color w:val="auto"/>
                <w:sz w:val="28"/>
                <w:highlight w:val="none"/>
                <w:lang w:val="en-US"/>
              </w:rPr>
              <w:t xml:space="preserve">x</w:t>
            </w:r>
            <w:r>
              <w:rPr>
                <w:color w:val="auto"/>
                <w:sz w:val="28"/>
                <w:highlight w:val="none"/>
                <w:lang w:val="ru-RU"/>
              </w:rPr>
            </w:r>
            <w:r>
              <w:rPr>
                <w:color w:val="auto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color w:val="auto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color w:val="auto"/>
                <w:sz w:val="28"/>
                <w:highlight w:val="none"/>
                <w:lang w:val="en-US"/>
              </w:rPr>
              <w:t xml:space="preserve">x</w:t>
            </w:r>
            <w:r>
              <w:rPr>
                <w:color w:val="auto"/>
              </w:rPr>
            </w:r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</w:tr>
    </w:tbl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  <w:t xml:space="preserve">K2 = Q1 * Q0</w:t>
      </w:r>
      <w:r>
        <w:rPr>
          <w:sz w:val="28"/>
          <w:highlight w:val="none"/>
          <w:lang w:val="en-US"/>
        </w:rPr>
      </w:r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J3:</w:t>
      </w:r>
      <w:r>
        <w:rPr>
          <w:sz w:val="28"/>
          <w:highlight w:val="none"/>
          <w:lang w:val="ru-RU"/>
        </w:rPr>
      </w:r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J3 = Q2 * Q1 * Q0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K3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tbl>
      <w:tblPr>
        <w:tblStyle w:val="682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Q3Q2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Q1Q0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K3 = Q1 * Q0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6"/>
    <w:next w:val="826"/>
    <w:link w:val="64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9">
    <w:name w:val="Heading 1 Char"/>
    <w:basedOn w:val="827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6"/>
    <w:next w:val="826"/>
    <w:link w:val="65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1">
    <w:name w:val="Heading 2 Char"/>
    <w:basedOn w:val="827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6"/>
    <w:next w:val="826"/>
    <w:link w:val="65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3">
    <w:name w:val="Heading 3 Char"/>
    <w:basedOn w:val="827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6"/>
    <w:next w:val="826"/>
    <w:link w:val="65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5">
    <w:name w:val="Heading 4 Char"/>
    <w:basedOn w:val="827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6"/>
    <w:next w:val="826"/>
    <w:link w:val="65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7">
    <w:name w:val="Heading 5 Char"/>
    <w:basedOn w:val="827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6"/>
    <w:next w:val="826"/>
    <w:link w:val="65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9">
    <w:name w:val="Heading 6 Char"/>
    <w:basedOn w:val="827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6"/>
    <w:next w:val="826"/>
    <w:link w:val="66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1">
    <w:name w:val="Heading 7 Char"/>
    <w:basedOn w:val="827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6"/>
    <w:next w:val="826"/>
    <w:link w:val="66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3">
    <w:name w:val="Heading 8 Char"/>
    <w:basedOn w:val="827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6"/>
    <w:next w:val="826"/>
    <w:link w:val="66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5">
    <w:name w:val="Heading 9 Char"/>
    <w:basedOn w:val="827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List Paragraph"/>
    <w:basedOn w:val="826"/>
    <w:qFormat/>
    <w:uiPriority w:val="34"/>
    <w:pPr>
      <w:contextualSpacing w:val="true"/>
      <w:ind w:left="720"/>
    </w:pPr>
  </w:style>
  <w:style w:type="paragraph" w:styleId="667">
    <w:name w:val="No Spacing"/>
    <w:qFormat/>
    <w:uiPriority w:val="1"/>
    <w:pPr>
      <w:spacing w:lineRule="auto" w:line="240" w:after="0" w:before="0"/>
    </w:pPr>
  </w:style>
  <w:style w:type="paragraph" w:styleId="668">
    <w:name w:val="Title"/>
    <w:basedOn w:val="826"/>
    <w:next w:val="826"/>
    <w:link w:val="66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9">
    <w:name w:val="Title Char"/>
    <w:basedOn w:val="827"/>
    <w:link w:val="668"/>
    <w:uiPriority w:val="10"/>
    <w:rPr>
      <w:sz w:val="48"/>
      <w:szCs w:val="48"/>
    </w:rPr>
  </w:style>
  <w:style w:type="paragraph" w:styleId="670">
    <w:name w:val="Subtitle"/>
    <w:basedOn w:val="826"/>
    <w:next w:val="826"/>
    <w:link w:val="671"/>
    <w:qFormat/>
    <w:uiPriority w:val="11"/>
    <w:rPr>
      <w:sz w:val="24"/>
      <w:szCs w:val="24"/>
    </w:rPr>
    <w:pPr>
      <w:spacing w:after="200" w:before="200"/>
    </w:pPr>
  </w:style>
  <w:style w:type="character" w:styleId="671">
    <w:name w:val="Subtitle Char"/>
    <w:basedOn w:val="827"/>
    <w:link w:val="670"/>
    <w:uiPriority w:val="11"/>
    <w:rPr>
      <w:sz w:val="24"/>
      <w:szCs w:val="24"/>
    </w:rPr>
  </w:style>
  <w:style w:type="paragraph" w:styleId="672">
    <w:name w:val="Quote"/>
    <w:basedOn w:val="826"/>
    <w:next w:val="826"/>
    <w:link w:val="673"/>
    <w:qFormat/>
    <w:uiPriority w:val="29"/>
    <w:rPr>
      <w:i/>
    </w:rPr>
    <w:pPr>
      <w:ind w:left="720" w:right="720"/>
    </w:p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6"/>
    <w:next w:val="826"/>
    <w:link w:val="67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5">
    <w:name w:val="Intense Quote Char"/>
    <w:link w:val="674"/>
    <w:uiPriority w:val="30"/>
    <w:rPr>
      <w:i/>
    </w:rPr>
  </w:style>
  <w:style w:type="paragraph" w:styleId="676">
    <w:name w:val="Header"/>
    <w:basedOn w:val="826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Header Char"/>
    <w:basedOn w:val="827"/>
    <w:link w:val="676"/>
    <w:uiPriority w:val="99"/>
  </w:style>
  <w:style w:type="paragraph" w:styleId="678">
    <w:name w:val="Footer"/>
    <w:basedOn w:val="826"/>
    <w:link w:val="6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9">
    <w:name w:val="Footer Char"/>
    <w:basedOn w:val="827"/>
    <w:link w:val="678"/>
    <w:uiPriority w:val="99"/>
  </w:style>
  <w:style w:type="paragraph" w:styleId="680">
    <w:name w:val="Caption"/>
    <w:basedOn w:val="826"/>
    <w:next w:val="82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1">
    <w:name w:val="Caption Char"/>
    <w:basedOn w:val="680"/>
    <w:link w:val="678"/>
    <w:uiPriority w:val="99"/>
  </w:style>
  <w:style w:type="table" w:styleId="682">
    <w:name w:val="Table Grid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9">
    <w:name w:val="Grid Table 1 Light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4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1">
    <w:name w:val="Grid Table 4 - Accent 1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2">
    <w:name w:val="Grid Table 4 - Accent 2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3">
    <w:name w:val="Grid Table 4 - Accent 3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4">
    <w:name w:val="Grid Table 4 - Accent 4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5">
    <w:name w:val="Grid Table 4 - Accent 5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6">
    <w:name w:val="Grid Table 4 - Accent 6"/>
    <w:basedOn w:val="82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7">
    <w:name w:val="Grid Table 5 Dark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8">
    <w:name w:val="Grid Table 5 Dark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1">
    <w:name w:val="Grid Table 5 Dark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4">
    <w:name w:val="Grid Table 6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6">
    <w:name w:val="List Table 2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7">
    <w:name w:val="List Table 2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8">
    <w:name w:val="List Table 2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9">
    <w:name w:val="List Table 2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0">
    <w:name w:val="List Table 2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1">
    <w:name w:val="List Table 2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2">
    <w:name w:val="List Table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4">
    <w:name w:val="List Table 6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5">
    <w:name w:val="List Table 6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6">
    <w:name w:val="List Table 6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7">
    <w:name w:val="List Table 6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8">
    <w:name w:val="List Table 6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9">
    <w:name w:val="List Table 6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0">
    <w:name w:val="List Table 7 Colorful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8">
    <w:name w:val="Lined - Accent 1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9">
    <w:name w:val="Lined - Accent 2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0">
    <w:name w:val="Lined - Accent 3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1">
    <w:name w:val="Lined - Accent 4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2">
    <w:name w:val="Lined - Accent 5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3">
    <w:name w:val="Lined - Accent 6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4">
    <w:name w:val="Bordered &amp; Lined - Accent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5">
    <w:name w:val="Bordered &amp; Lined - Accent 1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6">
    <w:name w:val="Bordered &amp; Lined - Accent 2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7">
    <w:name w:val="Bordered &amp; Lined - Accent 3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8">
    <w:name w:val="Bordered &amp; Lined - Accent 4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9">
    <w:name w:val="Bordered &amp; Lined - Accent 5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0">
    <w:name w:val="Bordered &amp; Lined - Accent 6"/>
    <w:basedOn w:val="82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1">
    <w:name w:val="Bordered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2">
    <w:name w:val="Bordered - Accent 1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3">
    <w:name w:val="Bordered - Accent 2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4">
    <w:name w:val="Bordered - Accent 3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5">
    <w:name w:val="Bordered - Accent 4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6">
    <w:name w:val="Bordered - Accent 5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7">
    <w:name w:val="Bordered - Accent 6"/>
    <w:basedOn w:val="82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rPr>
      <w:sz w:val="18"/>
    </w:rPr>
    <w:pPr>
      <w:spacing w:lineRule="auto" w:line="240" w:after="40"/>
    </w:p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27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rPr>
      <w:sz w:val="20"/>
    </w:rPr>
    <w:pPr>
      <w:spacing w:lineRule="auto" w:line="240" w:after="0"/>
    </w:p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27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27" w:default="1">
    <w:name w:val="Default Paragraph Font"/>
    <w:uiPriority w:val="1"/>
    <w:semiHidden/>
    <w:unhideWhenUsed/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13</cp:revision>
  <dcterms:created xsi:type="dcterms:W3CDTF">2021-09-11T09:19:00Z</dcterms:created>
  <dcterms:modified xsi:type="dcterms:W3CDTF">2021-12-08T20:14:23Z</dcterms:modified>
</cp:coreProperties>
</file>