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="360" w:lineRule="auto"/>
        <w:shd w:val="clear" w:color="auto" w:fill="ffffff"/>
        <w:rPr>
          <w:sz w:val="32"/>
        </w:rPr>
        <w:outlineLvl w:val="0"/>
      </w:pP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Проектирование цифровых устройств на основе ПЛИС</w:t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sz w:val="24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закрепление на практике теоретических сведений,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полученных при изучении методики проектирования цифровых устройств на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основе программируемых логических интегральных схем (ПЛИС), получение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необходимых навыков работы с системой автоматизированного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проектирования ISE WebPack устройств на основе ПЛИС фирмы Xilinx,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аппаратных и программных средств моделирования, макетирования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отладки устройств на основе ПЛИС.</w:t>
      </w:r>
      <w:r>
        <w:rPr>
          <w:sz w:val="24"/>
        </w:rPr>
      </w:r>
    </w:p>
    <w:p>
      <w:pPr>
        <w:ind w:left="0" w:right="0" w:firstLine="0"/>
        <w:jc w:val="center"/>
        <w:spacing w:before="0" w:after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sz w:val="24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Условие по варианту показаны в таблице 1: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sz w:val="24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Таблица 1 – условия по варианту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Вариант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Набор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State1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State2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State3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XC3S200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Задание 1</w:t>
      </w:r>
      <w:r>
        <w:rPr>
          <w:b/>
        </w:rPr>
      </w:r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Функциональная схема разрабатываемого устройства показана на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1.</w:t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1459" cy="284511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587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01458" cy="2845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8.1pt;height:22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Рисунок 1 - функциональная схема разрабатываемого устройства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Диаграмма состояний автомата подавления дребезга представлена на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2.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9490" cy="396653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652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79489" cy="3966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1.5pt;height:31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Рисунок 2 - диаграмма состояний автомата подавления дребезга</w:t>
      </w:r>
      <w:r>
        <w:rPr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red"/>
        </w:rPr>
        <w:tab/>
        <w:t xml:space="preserve">Функциональная схема устройства показана на рисунке 3.</w:t>
      </w:r>
      <w:r>
        <w:rPr>
          <w:sz w:val="24"/>
          <w:highlight w:val="red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ab/>
        <w:t xml:space="preserve">В таблице 2 представлены состояния выходов в зависимости от состояния автомата.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2 – таблица состояний выходов</w:t>
      </w:r>
      <w:r>
        <w:rPr>
          <w:sz w:val="24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Состояние</w:t>
            </w:r>
            <w:r>
              <w:rPr>
                <w:lang w:val="en-US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State0</w:t>
            </w:r>
            <w:r>
              <w:rPr>
                <w:lang w:val="en-US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State1</w:t>
            </w:r>
            <w:r>
              <w:rPr>
                <w:lang w:val="en-US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State2</w:t>
            </w:r>
            <w:r>
              <w:rPr>
                <w:lang w:val="en-US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State3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Двоичный код состояния S(1),S(0)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00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01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11</w:t>
            </w:r>
            <w:r/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CNT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DLY_EN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  <w:r/>
          </w:p>
        </w:tc>
      </w:tr>
    </w:tbl>
    <w:p>
      <w:r/>
      <w:r/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Из таблицы можно получить функции, задающие CNT и DLY_EN: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CNT = S(1) xor S(0)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DLY_EN = S(0)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Затем составим таблицу состояний SN.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таблица состояний SN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984"/>
        <w:gridCol w:w="984"/>
        <w:gridCol w:w="1014"/>
        <w:gridCol w:w="1014"/>
        <w:gridCol w:w="994"/>
        <w:gridCol w:w="994"/>
        <w:gridCol w:w="1308"/>
      </w:tblGrid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COUNT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DLY_OVF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S1(t)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S0(t)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S1(t+1)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S0(t+1)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SN(1)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SN(0)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Описание события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нажатия кнопки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Нажатие кнопки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окончания счета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Конец счета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отпускания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Отпускание кнопки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окончания счета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/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Конец счета</w:t>
            </w:r>
            <w:r>
              <w:rPr>
                <w:highlight w:val="none"/>
              </w:rPr>
            </w:r>
            <w:r/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Составим карты Карно для SN(1) и SN(0). Они представлены таблицами 3 и 4.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карта Карно для SN(1).</w:t>
      </w:r>
      <w:r>
        <w:rPr>
          <w:sz w:val="24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S1, S0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C,D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SN(1) = (S1 * not-S0) v (S1 * S0 * not-DLY_OVF) v (not-S1 * S0 * DLY_OVF)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4 – карта Карно для SN(0).</w:t>
      </w:r>
      <w:r>
        <w:rPr>
          <w:sz w:val="24"/>
          <w:highlight w:val="none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S1, S0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C,D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SN(0) = (S0 * not-DLY_OVF) v (S1 * not-S0 * not-COUNT) v (not-S1 * not-S0 *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COUNT)</w:t>
      </w:r>
      <w:r>
        <w:rPr>
          <w:sz w:val="24"/>
          <w:highlight w:val="none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2022-03-25T10:34:18Z</dcterms:modified>
</cp:coreProperties>
</file>