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20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Цель работы:</w:t>
      </w:r>
      <w:r>
        <w:rPr>
          <w:b/>
          <w:sz w:val="24"/>
        </w:rPr>
      </w:r>
      <w:r/>
    </w:p>
    <w:p>
      <w:pPr>
        <w:pStyle w:val="656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вышеприведенной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Проверяем работу кода, заданного в условии, и после изменяем его,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системное время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red"/>
        </w:rPr>
        <w:t xml:space="preserve">Схема алгоритма программы показана на рисунке 3.</w:t>
      </w:r>
      <w:r>
        <w:rPr>
          <w:i w:val="0"/>
          <w:sz w:val="24"/>
          <w:highlight w:val="red"/>
        </w:rPr>
      </w:r>
      <w:r/>
    </w:p>
    <w:p>
      <w:pPr>
        <w:ind w:left="0" w:right="0" w:firstLine="708"/>
        <w:jc w:val="left"/>
        <w:spacing w:line="360" w:lineRule="auto"/>
        <w:rPr>
          <w:b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  <w:r/>
    </w:p>
    <w:p>
      <w:pPr>
        <w:ind w:left="0" w:right="0" w:firstLine="708"/>
        <w:jc w:val="left"/>
        <w:spacing w:line="360" w:lineRule="auto"/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2022-02-28T21:04:49Z</dcterms:modified>
</cp:coreProperties>
</file>