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6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6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6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6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4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6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miter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66"/>
        <w:spacing w:line="360" w:lineRule="auto"/>
        <w:shd w:val="clear" w:color="auto" w:fill="ffffff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Таймеры микроконтроллеров ATx8515</w:t>
      </w:r>
      <w:r>
        <w:rPr>
          <w:sz w:val="28"/>
          <w:u w:val="single"/>
        </w:rPr>
        <w:t xml:space="preserve">.</w:t>
      </w:r>
      <w:r>
        <w:rPr>
          <w:sz w:val="28"/>
          <w:u w:val="single"/>
        </w:rPr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6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010"/>
        <w:gridCol w:w="1567"/>
        <w:gridCol w:w="216"/>
        <w:gridCol w:w="1627"/>
        <w:gridCol w:w="3828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Астахов, Д.И. Вариханов</w:t>
            </w:r>
            <w:r>
              <w:rPr>
                <w:sz w:val="28"/>
                <w:szCs w:val="28"/>
                <w:highlight w:val="none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left"/>
            </w:pPr>
            <w:r>
              <w:t xml:space="preserve">(Подпись, 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56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627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3828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sz w:val="24"/>
        </w:rPr>
      </w:r>
      <w:r/>
    </w:p>
    <w:p>
      <w:pPr>
        <w:ind w:right="-23" w:firstLine="0"/>
        <w:jc w:val="both"/>
        <w:spacing w:before="72" w:after="0" w:line="360" w:lineRule="auto"/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Це</w:t>
      </w:r>
      <w:r>
        <w:rPr>
          <w:rFonts w:ascii="Times New Roman" w:hAnsi="Times New Roman" w:cs="Times New Roman" w:eastAsia="Times New Roman"/>
          <w:b/>
          <w:bCs/>
          <w:spacing w:val="3"/>
          <w:sz w:val="24"/>
          <w:szCs w:val="28"/>
          <w:lang w:val="ru-RU"/>
        </w:rPr>
        <w:t xml:space="preserve">л</w:t>
      </w:r>
      <w:r>
        <w:rPr>
          <w:rFonts w:ascii="Times New Roman" w:hAnsi="Times New Roman" w:cs="Times New Roman" w:eastAsia="Times New Roman"/>
          <w:b/>
          <w:bCs/>
          <w:spacing w:val="-8"/>
          <w:sz w:val="24"/>
          <w:szCs w:val="28"/>
          <w:lang w:val="ru-RU"/>
        </w:rPr>
        <w:t xml:space="preserve">и 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р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а</w:t>
      </w:r>
      <w:r>
        <w:rPr>
          <w:rFonts w:ascii="Times New Roman" w:hAnsi="Times New Roman" w:cs="Times New Roman" w:eastAsia="Times New Roman"/>
          <w:b/>
          <w:bCs/>
          <w:spacing w:val="4"/>
          <w:sz w:val="24"/>
          <w:szCs w:val="28"/>
          <w:lang w:val="ru-RU"/>
        </w:rPr>
        <w:t xml:space="preserve">б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о</w:t>
      </w:r>
      <w:r>
        <w:rPr>
          <w:rFonts w:ascii="Times New Roman" w:hAnsi="Times New Roman" w:cs="Times New Roman" w:eastAsia="Times New Roman"/>
          <w:b/>
          <w:bCs/>
          <w:spacing w:val="2"/>
          <w:sz w:val="24"/>
          <w:szCs w:val="28"/>
          <w:lang w:val="ru-RU"/>
        </w:rPr>
        <w:t xml:space="preserve">т</w:t>
      </w:r>
      <w:r>
        <w:rPr>
          <w:rFonts w:ascii="Times New Roman" w:hAnsi="Times New Roman" w:cs="Times New Roman" w:eastAsia="Times New Roman"/>
          <w:b/>
          <w:bCs/>
          <w:spacing w:val="-1"/>
          <w:sz w:val="24"/>
          <w:szCs w:val="28"/>
          <w:lang w:val="ru-RU"/>
        </w:rPr>
        <w:t xml:space="preserve">ы</w:t>
      </w:r>
      <w:r>
        <w:rPr>
          <w:rFonts w:ascii="Times New Roman" w:hAnsi="Times New Roman" w:cs="Times New Roman" w:eastAsia="Times New Roman"/>
          <w:b/>
          <w:bCs/>
          <w:sz w:val="24"/>
          <w:szCs w:val="28"/>
          <w:lang w:val="ru-RU"/>
        </w:rPr>
        <w:t xml:space="preserve">: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изучение структур и режимов работы таймеров и их программирование;</w:t>
      </w:r>
      <w:r>
        <w:rPr>
          <w:sz w:val="24"/>
        </w:rPr>
      </w:r>
      <w:r/>
    </w:p>
    <w:p>
      <w:pPr>
        <w:pStyle w:val="702"/>
        <w:numPr>
          <w:ilvl w:val="0"/>
          <w:numId w:val="6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анализ схем включения таймеров для проведения исследований;</w:t>
      </w:r>
      <w:r>
        <w:rPr>
          <w:sz w:val="24"/>
        </w:rPr>
      </w:r>
      <w:r/>
    </w:p>
    <w:p>
      <w:pPr>
        <w:pStyle w:val="702"/>
        <w:numPr>
          <w:ilvl w:val="0"/>
          <w:numId w:val="4"/>
        </w:numPr>
        <w:ind w:right="-23"/>
        <w:jc w:val="both"/>
        <w:spacing w:after="0" w:line="360" w:lineRule="auto"/>
        <w:rPr>
          <w:sz w:val="24"/>
        </w:rPr>
      </w:pPr>
      <w:r>
        <w:rPr>
          <w:sz w:val="24"/>
        </w:rPr>
        <w:t xml:space="preserve">программирование задач с таймером.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  <w:sz w:val="24"/>
        </w:rPr>
        <w:t xml:space="preserve">.</w:t>
      </w:r>
      <w:r>
        <w:rPr>
          <w:sz w:val="24"/>
        </w:rPr>
      </w:r>
      <w:r/>
    </w:p>
    <w:p>
      <w:pPr>
        <w:ind w:firstLine="708"/>
        <w:jc w:val="both"/>
        <w:spacing w:line="360" w:lineRule="auto"/>
        <w:rPr>
          <w:b/>
          <w:sz w:val="24"/>
          <w:highlight w:val="none"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Режим счетчика</w:t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  <w:t xml:space="preserve">Проверить на плате STK500 работу заданной программы</w:t>
      </w:r>
      <w:r>
        <w:rPr>
          <w:b w:val="0"/>
          <w:sz w:val="24"/>
          <w:highlight w:val="none"/>
        </w:rPr>
        <w:t xml:space="preserve">. </w:t>
      </w:r>
      <w:r>
        <w:rPr>
          <w:b w:val="0"/>
          <w:sz w:val="24"/>
          <w:highlight w:val="none"/>
        </w:rPr>
        <w:t xml:space="preserve">Изменить программу, исключив влияние на работу таймера возможность “дребезга” кнопки.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Программа задействует таймер/счетчик T0, структурная схема которого приведена на рисунке 1.</w: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2769" cy="28980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3972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32768" cy="2898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01.8pt;height:22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ind w:firstLine="0"/>
        <w:jc w:val="center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Рисунок 1 – структурная схема таймера/счетчика Т0</w:t>
      </w:r>
      <w:r>
        <w:rPr>
          <w:b w:val="0"/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Код измененной программы:</w:t>
      </w:r>
      <w:r>
        <w:rPr>
          <w:b w:val="0"/>
          <w:sz w:val="24"/>
          <w:highlight w:val="none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;Программа 4.1 для МК ATx8515: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;демонстрация работы таймера Т0 в режиме счётчика событий;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;событие - нажатие кнопки SW0.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;Соединения: порт PB0–SW0, шлейфом порт PD-LED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;Светодиоды включаются после четвертого нажатия кнопки SW0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;********************************************************************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;.include "8515def.inc" ;файл определений AT90S8515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.include "m8515def.inc" ;файл определений ATmega8515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.def temp = r16 ;временный регистр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;***Таблица векторов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INIT ;обработка сброса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.org $007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rjmp T0_OVF ;обработка переполнения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;***Инициализация МК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INIT: ldi temp,low(RAMEND) ;установка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SPL,temp ; указателя стека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temp,high(RAMEND) ; на последнюю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SPH,temp ; ячейку ОЗУ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clr temp ;инициализация выводов порта PB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DDRB,temp ; на ввод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temp,(1&lt;&lt;PB0) ;включение ‘подтягивающего’ резистора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PORTB,temp ; входа PB0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 ;инициализация выводов порта PD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DDRD,temp ; на вывод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temp,(1&lt;&lt;SE) ;разрешение перехода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MCUCR,temp ; в режим Idle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;***Настройка таймера Т0 на режим счётчика событий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temp,0x02 ;разрешение прерывания по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TIMSK,temp ; переполнению таймера Т0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temp,0x07 ;переключение таймера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TCCR0,temp ; по положительному перепаду напряжения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sei ;глобальное разрешение прерываний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;$FC=-4 для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отсчёта 4-х нажатий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LOOP: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sbic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LOOP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cbi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sbi PORTB,0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rcall DELAY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  <w:highlight w:val="none"/>
        </w:rPr>
      </w:r>
      <w:r>
        <w:rPr>
          <w:rFonts w:ascii="FreeMono" w:hAnsi="FreeMono" w:cs="FreeMono" w:eastAsia="FreeMono"/>
          <w:sz w:val="24"/>
          <w:highlight w:val="none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no: sbis PINB,1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spacing w:before="120" w:after="120" w:line="276" w:lineRule="auto"/>
        <w:rPr>
          <w:rFonts w:ascii="FreeMono" w:hAnsi="FreeMono" w:cs="FreeMono" w:eastAsia="FreeMono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sz w:val="24"/>
        </w:rPr>
        <w:t xml:space="preserve">rjmp no 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sz w:val="24"/>
        </w:rPr>
        <w:t xml:space="preserve">rjmp LOOP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;***Обработка прерывания при переполнении таймера 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T0_OVF: clr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rcall DELAY ;задержка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ser temp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PORTD,temp ;выключение светодиодов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temp,0xFC ;перезагрузка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out TCNT0,temp ; TCNT0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reti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;*** Задержка ***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DELAY: ldi r19,6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r20,255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ldi r21,255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dd: dec r21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r20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dec r19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brne dd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  <w:t xml:space="preserve">ret</w:t>
      </w:r>
      <w:r>
        <w:rPr>
          <w:rFonts w:ascii="FreeMono" w:hAnsi="FreeMono" w:cs="FreeMono" w:eastAsia="FreeMono"/>
          <w:sz w:val="24"/>
        </w:rPr>
      </w:r>
      <w:r/>
    </w:p>
    <w:p>
      <w:pPr>
        <w:ind w:left="709" w:right="0" w:firstLine="0"/>
        <w:jc w:val="both"/>
        <w:spacing w:line="276" w:lineRule="auto"/>
        <w:rPr>
          <w:rFonts w:ascii="FreeMono" w:hAnsi="FreeMono" w:cs="FreeMono" w:eastAsia="FreeMono"/>
          <w:b w:val="0"/>
          <w:sz w:val="24"/>
          <w:highlight w:val="none"/>
        </w:rPr>
      </w:pPr>
      <w:r>
        <w:rPr>
          <w:rFonts w:ascii="FreeMono" w:hAnsi="FreeMono" w:cs="FreeMono" w:eastAsia="FreeMono"/>
          <w:b w:val="0"/>
          <w:sz w:val="24"/>
          <w:highlight w:val="none"/>
        </w:rPr>
      </w:r>
      <w:r>
        <w:rPr>
          <w:rFonts w:ascii="FreeMono" w:hAnsi="FreeMono" w:cs="FreeMono" w:eastAsia="FreeMono"/>
          <w:b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8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Данная программа после считывания нажатия кнопки ожидает некоторое время, чтобы прекратился дребезг. Таймер Т0 испол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ьзуется в качестве счетчика событий нажатия на кнопку.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Задание 2.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  <w:t xml:space="preserve">Режим таймера</w:t>
      </w:r>
      <w:r>
        <w:rPr>
          <w:rFonts w:ascii="Times New Roman" w:hAnsi="Times New Roman" w:cs="Times New Roman" w:eastAsia="Times New Roman"/>
          <w:b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b w:val="0"/>
          <w:highlight w:val="none"/>
        </w:rPr>
      </w:pPr>
      <w:r>
        <w:rPr>
          <w:rFonts w:ascii="Times New Roman" w:hAnsi="Times New Roman" w:cs="Times New Roman" w:eastAsia="Times New Roman"/>
          <w:b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Проверить работу программы. Оценить время свечения светодиодов при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нажатии кнопки SW0 и при нажатии кнопки SW1 и сравнить его с расчетным значением. 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 xml:space="preserve">Изменив настройки таймера, уменьшить вдвое время включения светодиодов.</w:t>
      </w:r>
      <w:r>
        <w:rPr>
          <w:b w:val="0"/>
        </w:rPr>
      </w:r>
      <w:r/>
    </w:p>
    <w:p>
      <w:p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highlight w:val="none"/>
        </w:rPr>
        <w:tab/>
      </w:r>
      <w:r>
        <w:rPr>
          <w:b w:val="0"/>
          <w:sz w:val="24"/>
          <w:highlight w:val="none"/>
        </w:rPr>
        <w:t xml:space="preserve">Схема используемого таймера/счетчика T1 приведена на  рисунке 2.</w:t>
      </w:r>
      <w:r>
        <w:rPr>
          <w:rFonts w:ascii="Times New Roman" w:hAnsi="Times New Roman" w:cs="Times New Roman" w:eastAsia="Times New Roman"/>
          <w:b w:val="0"/>
          <w:sz w:val="40"/>
          <w:highlight w:val="none"/>
        </w:rPr>
      </w:r>
      <w:r/>
    </w:p>
    <w:p>
      <w:pPr>
        <w:jc w:val="center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31885" cy="3466432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1351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31885" cy="3466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01.7pt;height:272.9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b w:val="0"/>
          <w:sz w:val="24"/>
          <w:highlight w:val="none"/>
        </w:rPr>
      </w:r>
      <w:r/>
    </w:p>
    <w:p>
      <w:pPr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40"/>
          <w:highlight w:val="none"/>
        </w:rPr>
      </w:pPr>
      <w:r>
        <w:rPr>
          <w:b w:val="0"/>
          <w:sz w:val="24"/>
          <w:highlight w:val="none"/>
        </w:rPr>
        <w:t xml:space="preserve">Рисунок 2 – структурная схема таймер/счетчика Т1</w:t>
      </w:r>
      <w:r>
        <w:rPr>
          <w:b w:val="0"/>
          <w:sz w:val="24"/>
          <w:highlight w:val="no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 = 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исходной программе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0x8000 = 32768.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(65536 – 32768)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В измененной программе: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ab/>
        <w:t xml:space="preserve">По заданию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1_нов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/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 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(65536 – TCNT1) * K / 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ck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TCNT1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65536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-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16384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49152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0xC000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</w:r>
      <w:r/>
    </w:p>
    <w:p>
      <w:p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SW0 = 0 ;0-ой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SW1 = 1 ;1-ий вывод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;***Таблица векторов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$006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T1_OVF ;обработка переполнения таймера T0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;инициализация выводов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на ввод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temp,0x03 ;включение ‘подтягивающих’ резисторов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разрядах 0,1 порта PD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ser temp ;инициализация выводов порта PB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DDRB,temp ; на вывод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таймера Т1 на режим таймера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temp,0x80 ;разрешение прерывания по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TIMSK,temp ; переполнению таймера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;таймер Т1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остановлен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 ; 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;глобальное разрешение прерываний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;***Ожидание нажатия кнопок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test_sw0: sbic PIND,SW0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test_sw1 ;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;для настройки предделителя (К=1024)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test_sw1: sbic PIND,SW1 ;проверка нажатия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 ;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нажатия кнопки SW1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 для настройки предделителя (К=256)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rcall LED_ON ;включение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test_sw0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;***Включение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LED_ON: out TCCR1B,temp ;запуск таймера с предделителем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;включение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при переполнении таймера 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T1_OVF: ser temp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PORTB,temp ;выключение светодиодов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Т1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0xC0</w:t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перезагрузка TCNT1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temp,0x00</w:t>
      </w:r>
      <w:r/>
    </w:p>
    <w:p>
      <w:pPr>
        <w:ind w:left="709" w:right="0" w:firstLine="0"/>
        <w:jc w:val="both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</w:t>
      </w:r>
      <w:r/>
    </w:p>
    <w:p>
      <w:pPr>
        <w:ind w:left="709" w:right="0" w:firstLine="0"/>
        <w:jc w:val="both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2.27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9.09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исходной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2.36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8.75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Расчетное время свечения светодиодов в измененной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256)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1.14 c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((65536 – 32768) * 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sz w:val="24"/>
          <w:highlight w:val="none"/>
          <w:vertAlign w:val="baseline"/>
        </w:rPr>
        <w:t xml:space="preserve">)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32768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1024)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)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4.55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Практическое время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свечения светодиодов 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измененной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программе: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1.25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sw1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</w:rPr>
        <w:t xml:space="preserve"> = 4.42 с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Как видно, практически измеренные промежутки времени близки к теоретическим, 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особенно, учитывая высокие относительные погрешности ввиду малого интервала измерения.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3.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 Функция сравнения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параметры настройки таймера так, чтобы параметры выходных 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соответствовали выбранным значениям: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2 c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(OC1A) = 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(OC1B) = OCR1A· Tcnt = OCR1A·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*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1024 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7207= 0x1C27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(OCR1A ‒ OCR1B) · K/Fcк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(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3604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‒ 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 * 1024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/ (3.69 * 10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)= 1/2 с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тсюда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OCR1B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1802 = 0x070A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На рисунке 3 изображены временные диаграммы таймера/счетчика T1 при работе в режиме сравнения.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84903" cy="202780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3242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284902" cy="2027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7.4pt;height:159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3 -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временные диаграммы таймера/счетчика T1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Код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;Программа 4.3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;демонстрация работы функции сравнения таймера Т1.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;Частота тактового генератора Fск=3,69 МГц.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SW0 (START) запускается счёт с частотой Fск/К,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нажатии на SW2 (STOP) счёт останавливается.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;При совпадении содержимого счётчика и регистра сравнения OCR1B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;переключается светодиод LED0,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;содержимого счётчика и регистра сравнения OCR1A - LED1.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Соединения: LED0–PE2, LED1–PD5, SW0–PD0, SW2–PD2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.equ START = 0 ;0-ой вывод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.org $001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STOP_PRESSED ;обработка внешнего прерывания INT0 -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 нажатие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INIT: ldi temp,low(RAMEND) ;установка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SPL,temp ; указателя стека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temp,high(RAMEND) ; на последнюю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SPH,temp ; ячейку ОЗУ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temp,0x20 ;инициализация вывода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DDRD,temp ; как выхода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temp,0x05 ;включение ‘подтягивающих’ резисторов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PORTD,temp ; в PD0, PD2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temp,0x04 ;/// для ATmega8515 инициализация вывода порта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temp,(1&lt;&lt;INT0) ;разрешение прерывания INT0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GICR,temp ; в регистре GICR (или GIMSK)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;обработка прерывания INT0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MCUCR,temp ; по низкому уровню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;***Настройка функции сравнения таймера Т1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temp,0x50 ;при сравнении состояния выводов OC1A и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TCCR1A,temp ; OC1B изменяются на противоположные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temp,0x07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temp,0x0A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OCR1BL,temp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temp,0x1C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OCR1AH,temp ; регистр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temp,0x27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OCR1AL,temp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sei ;разрешение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WAITSTART: sbic PIND,START ;ожидание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 таймера с предделителем К=1024,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при совпадении с OCR1A - сброс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LOOP: nop ;во время цикла происходит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LOOP ; увеличение содержимого счётного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;***Обработка прерывания от кнопки STOP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STOP_PRESSED: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clr temp ;останов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WAITSTART_2: ;ожидание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sbic PIND,START ; нажатия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rjmp WAITSTART_2 ; кнопки START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ldi temp,0x0D ;запуск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out TCCR1B,temp ; таймера с предделителем К=1024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  <w:t xml:space="preserve">reti</w:t>
      </w:r>
      <w:r/>
    </w:p>
    <w:p>
      <w:pPr>
        <w:ind w:left="709" w:right="0" w:firstLine="0"/>
        <w:jc w:val="left"/>
        <w:spacing w:line="276" w:lineRule="auto"/>
        <w:shd w:val="nil" w:color="000000"/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pP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Схема для тестирования программы в Proteus приведена на рисунке 4.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78715" cy="260843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135735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778714" cy="26084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3pt;height:205.4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4 -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Соответствующие временные диаграммы приведены на рисунке 5.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и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 t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з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несколько меньше расчетных, так как Proteus эмулирует работу микроконтроллера с частотой 4 МГц, вместо расчетных 3.69 МГц.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subscript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93115" cy="217176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064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693114" cy="2171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48.3pt;height:171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5 – временные диаграммы в режиме сравнения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/>
    </w:p>
    <w:p>
      <w:pPr>
        <w:shd w:val="nil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r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4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. Режим ШИМ</w:t>
      </w:r>
      <w:r/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Проверить работу программы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Изменить программу для формирования двух выходных ШИМ-сигналов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 коэффициентом заполнения ¼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или ¾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для 10-разрядного режима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. Формирование ШИМ сигналов представлено на рисунке 6.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26390" cy="186082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88366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226390" cy="1860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11.5pt;height:146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6 -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Формирование ШИМ-сигналов OC1A (неинвертированный) и OC1B (инвертированный)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ШИМ 10-разрядный, поэтому модуль счёта TOP=1023. K = 1024.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 = 2 * TOP *K/Fck = 2*1023*1024/(3,69*10^6) ≈ 0,57c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и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3/4T ≈ 0,43 c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t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subscript"/>
        </w:rPr>
        <w:t xml:space="preserve">з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 = 1/4T ≈ 0,14 c</w:t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Тогда для F1: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i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OCR1B = (1\4)*TOP ≈ 256 = 0x100</w:t>
      </w:r>
      <w:r>
        <w:rPr>
          <w:i/>
        </w:rPr>
      </w:r>
      <w:r/>
    </w:p>
    <w:p>
      <w:pPr>
        <w:ind w:left="709" w:right="0" w:firstLine="0"/>
        <w:jc w:val="left"/>
        <w:spacing w:line="360" w:lineRule="auto"/>
        <w:shd w:val="nil" w:color="000000"/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Для F2:</w:t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  <w:t xml:space="preserve">OCR1A = (3/4)*TOP ≈ 767 = 0x2FF</w:t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Код измененной программы: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;Программа 4.4 для МК ATx8515: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;демонстрация работы таймера Т1 в режиме ШИМ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SW0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;При нажатии SW1 происходит генерация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;ШИМ-сигналов с порогом сравнения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;Соединения: PD5-LED0,PE2-LED1, PD0-SW0,PD1-SW1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;************************************************************************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;.include "8515def.inc" ;файл определений AT90S8515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.include "m8515def.inc" ;файл определений ATmega8515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.def temp = r16 ;временный регистр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;***Выводы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SW0 = 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.equ SW1 = 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.org $000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INIT ;обработка сброса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;***Инициализация МК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INIT: ldi temp,0x20 ;инициализация PD5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DDRD,temp ;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temp,0x03 ;включение ‘подтягивающих’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PORTD,temp ; резисторов порта PD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temp,0x04 ;/// для ATmega8515 инициализация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DDRE,temp ;/// PE2 (OC1B) на вывод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cli ;запрещение прерываний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;настройка таймера: 10-разрядный режим ШИМ, на выводе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;OC1A неинвертированный сигнал, OC1B – инвертированный сигнал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temp,0xB3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TCCR1A,temp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clr temp ; обнуление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TCNT1H,temp ; счётного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TCNT1L,temp ; регистра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temp,0x05 ;таймер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TCCR1B,temp ; запущен с предделителем 1024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F1: sbic PIND,SW0 ;проверка нажатия SW0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;***Установка порога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temp,0x01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temp,0x00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F2: sbic PIND,SW1 ; проверка нажатия SW1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;*** Установка порога F2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temp,0x02 ;запись числа в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OCR1AH,temp ; регистры сравнения,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OCR1BH,temp ; первым записывается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ldi temp,0xff ; старший байт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OCR1AL,temp 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out OCR1BL,temp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  <w:t xml:space="preserve">rjmp F1</w:t>
      </w:r>
      <w:r/>
    </w:p>
    <w:p>
      <w:pPr>
        <w:ind w:left="709" w:right="0" w:firstLine="0"/>
        <w:jc w:val="left"/>
        <w:spacing w:line="276" w:lineRule="auto"/>
        <w:shd w:val="nil" w:color="000000"/>
      </w:pP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>
        <w:rPr>
          <w:rFonts w:ascii="FreeMono" w:hAnsi="FreeMono" w:cs="FreeMono" w:eastAsia="FreeMono"/>
          <w:b w:val="0"/>
          <w:i/>
          <w:sz w:val="24"/>
          <w:highlight w:val="none"/>
          <w:vertAlign w:val="baseline"/>
        </w:rPr>
      </w:r>
      <w:r/>
    </w:p>
    <w:p>
      <w:pPr>
        <w:shd w:val="nil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708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 представлена на рисунке 7.</w: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50190" cy="28224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136948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50189" cy="2822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05.5pt;height:22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7 -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схема для тестирования программы в Proteus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  <w:t xml:space="preserve">Соответствующая временная диаграмма представлена на рисунке 8.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606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1044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0" t="19022" r="0" b="3037"/>
                        <a:stretch/>
                      </pic:blipFill>
                      <pic:spPr bwMode="auto">
                        <a:xfrm flipH="0" flipV="0">
                          <a:off x="0" y="0"/>
                          <a:ext cx="5940424" cy="32760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258.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Рисунок 8 – временные диаграммы в режиме ШИМ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p>
      <w:pPr>
        <w:ind w:left="0" w:right="0" w:firstLine="0"/>
        <w:jc w:val="left"/>
        <w:spacing w:line="360" w:lineRule="auto"/>
        <w:shd w:val="nil" w:color="000000"/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  <w:vertAlign w:val="baseline"/>
        </w:rPr>
        <w:t xml:space="preserve">Задание 5</w:t>
      </w:r>
      <w:r>
        <w:rPr>
          <w:b/>
        </w:rPr>
      </w:r>
      <w:r/>
    </w:p>
    <w:p>
      <w:pPr>
        <w:ind w:left="0" w:right="0" w:firstLine="708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Загрузить программу в STK500. Для проверки работы программы включите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одновременно секундомер часов и запустите программу. После останова программы проверьте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показания времени на часах и в регистрах захвата таймера. Результаты представлены в таблице 1.</w:t>
      </w:r>
      <w:r/>
    </w:p>
    <w:p>
      <w:pPr>
        <w:shd w:val="nil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</w:p>
    <w:p>
      <w:pPr>
        <w:ind w:left="0" w:right="0" w:firstLine="0"/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  <w:t xml:space="preserve">Таблица 1 — результаты измерений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  <w:vertAlign w:val="baseline"/>
        </w:rPr>
      </w:r>
      <w:r/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1984"/>
        <w:gridCol w:w="3969"/>
        <w:gridCol w:w="3402"/>
      </w:tblGrid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Время на секундомере,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Значения в регистрах захвата таймера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Расчетное время, с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5.51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100 1100 0010 0111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19495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5.41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8.32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111 0100 1011 0001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 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29873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8.29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  <w:tr>
        <w:trPr/>
        <w:tc>
          <w:tcPr>
            <w:tcW w:w="1984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3.15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969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10 1101 0000 1011 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  <w:tc>
          <w:tcPr>
            <w:tcW w:w="3402" w:type="dxa"/>
            <w:textDirection w:val="lrTb"/>
            <w:noWrap w:val="false"/>
          </w:tcPr>
          <w:p>
            <w:pPr>
              <w:jc w:val="center"/>
              <w:spacing w:line="360" w:lineRule="auto"/>
              <w:shd w:val="nil" w:color="000000"/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11531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*(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1024/(3.69*10^6))≈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  <w:t xml:space="preserve">3.20</w:t>
            </w:r>
            <w:r>
              <w:rPr>
                <w:rFonts w:ascii="Times New Roman" w:hAnsi="Times New Roman" w:cs="Times New Roman" w:eastAsia="Times New Roman"/>
                <w:b w:val="0"/>
                <w:i w:val="0"/>
                <w:sz w:val="24"/>
                <w:highlight w:val="none"/>
                <w:vertAlign w:val="baseline"/>
              </w:rPr>
            </w:r>
            <w:r/>
          </w:p>
        </w:tc>
      </w:tr>
    </w:tbl>
    <w:p>
      <w:pPr>
        <w:jc w:val="both"/>
        <w:spacing w:line="360" w:lineRule="auto"/>
        <w:shd w:val="nil" w:color="000000"/>
        <w:rPr>
          <w:b/>
          <w:sz w:val="24"/>
          <w:highlight w:val="none"/>
        </w:rPr>
      </w:pP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  <w:r>
        <w:rPr>
          <w:b w:val="0"/>
          <w:sz w:val="24"/>
          <w:highlight w:val="none"/>
        </w:rPr>
        <w:tab/>
      </w:r>
      <w:r>
        <w:rPr>
          <w:b/>
          <w:sz w:val="24"/>
          <w:highlight w:val="none"/>
        </w:rPr>
      </w:r>
      <w:r/>
    </w:p>
    <w:p>
      <w:pPr>
        <w:ind w:firstLine="708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/>
          <w:sz w:val="24"/>
          <w:highlight w:val="none"/>
        </w:rPr>
        <w:t xml:space="preserve">Вывод: </w:t>
      </w:r>
      <w:r>
        <w:rPr>
          <w:b w:val="0"/>
          <w:sz w:val="24"/>
        </w:rPr>
        <w:t xml:space="preserve">в ходе данной лабораторной работы было изучено устройство таймеров </w:t>
      </w:r>
      <w:r>
        <w:rPr>
          <w:b w:val="0"/>
          <w:sz w:val="24"/>
        </w:rPr>
        <w:t xml:space="preserve">T0 и T1</w:t>
      </w:r>
      <w:r>
        <w:rPr>
          <w:b w:val="0"/>
          <w:sz w:val="24"/>
        </w:rPr>
        <w:t xml:space="preserve"> в контроллерах AVR. Были изучены следующие режимы таймеров:</w:t>
      </w:r>
      <w:r>
        <w:rPr>
          <w:rFonts w:ascii="Times New Roman" w:hAnsi="Times New Roman" w:cs="Times New Roman" w:eastAsia="Times New Roman"/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счетчика </w:t>
      </w:r>
      <w:r>
        <w:rPr>
          <w:b w:val="0"/>
          <w:sz w:val="24"/>
          <w:highlight w:val="none"/>
        </w:rPr>
        <w:t xml:space="preserve"> (</w:t>
      </w:r>
      <w:r>
        <w:rPr>
          <w:b w:val="0"/>
          <w:sz w:val="24"/>
          <w:highlight w:val="none"/>
        </w:rPr>
        <w:t xml:space="preserve">вызывается прерывание при переполнении счетчика событий)</w:t>
      </w:r>
      <w:r/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таймера (</w:t>
      </w:r>
      <w:r>
        <w:rPr>
          <w:b w:val="0"/>
          <w:sz w:val="24"/>
          <w:highlight w:val="none"/>
        </w:rPr>
        <w:t xml:space="preserve">вызывается прерывание при переполнении таймера)</w:t>
      </w:r>
      <w:r>
        <w:rPr>
          <w:b w:val="0"/>
          <w:sz w:val="24"/>
          <w:highlight w:val="none"/>
        </w:rPr>
        <w:t xml:space="preserve">;</w:t>
      </w:r>
      <w:r>
        <w:rPr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rFonts w:ascii="Times New Roman" w:hAnsi="Times New Roman" w:cs="Times New Roman" w:eastAsia="Times New Roman"/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сравнения (вызывается прерывание при совпадении значения таймера со значением одного из регистров сравнения);</w:t>
      </w:r>
      <w:r>
        <w:rPr>
          <w:b w:val="0"/>
          <w:sz w:val="24"/>
          <w:highlight w:val="none"/>
        </w:rPr>
      </w:r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ШИМ (</w:t>
      </w:r>
      <w:r>
        <w:rPr>
          <w:b w:val="0"/>
          <w:sz w:val="24"/>
          <w:highlight w:val="none"/>
        </w:rPr>
        <w:t xml:space="preserve">счётчик TCNT1 функционирует как реверсивный счётчик, используется схема сравнения</w:t>
      </w:r>
      <w:r>
        <w:rPr>
          <w:b w:val="0"/>
          <w:sz w:val="24"/>
          <w:highlight w:val="none"/>
        </w:rPr>
        <w:t xml:space="preserve">);</w:t>
      </w:r>
      <w:r/>
    </w:p>
    <w:p>
      <w:pPr>
        <w:pStyle w:val="702"/>
        <w:numPr>
          <w:ilvl w:val="0"/>
          <w:numId w:val="8"/>
        </w:numPr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режим захвата (</w:t>
      </w:r>
      <w:r>
        <w:rPr>
          <w:b w:val="0"/>
          <w:sz w:val="24"/>
          <w:highlight w:val="none"/>
        </w:rPr>
        <w:t xml:space="preserve">функция заключается в сохранении в определённый момент времени состояния </w:t>
      </w:r>
      <w:r>
        <w:rPr>
          <w:b w:val="0"/>
          <w:sz w:val="24"/>
          <w:highlight w:val="none"/>
        </w:rPr>
        <w:t xml:space="preserve">таймера/счётчика TCNT1 в регистре захвата ICR1</w:t>
      </w:r>
      <w:r>
        <w:rPr>
          <w:b w:val="0"/>
          <w:sz w:val="24"/>
          <w:highlight w:val="none"/>
        </w:rPr>
        <w:t xml:space="preserve">);</w:t>
      </w:r>
      <w:r>
        <w:rPr>
          <w:b w:val="0"/>
          <w:sz w:val="24"/>
          <w:highlight w:val="none"/>
        </w:rPr>
      </w:r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</w:r>
      <w:r>
        <w:rPr>
          <w:b w:val="0"/>
          <w:sz w:val="24"/>
          <w:highlight w:val="none"/>
        </w:rPr>
      </w:r>
    </w:p>
    <w:p>
      <w:pPr>
        <w:ind w:left="709" w:firstLine="0"/>
        <w:jc w:val="both"/>
        <w:spacing w:line="360" w:lineRule="auto"/>
        <w:shd w:val="nil" w:color="000000"/>
        <w:rPr>
          <w:b w:val="0"/>
          <w:sz w:val="24"/>
          <w:highlight w:val="none"/>
        </w:rPr>
      </w:pPr>
      <w:r>
        <w:rPr>
          <w:b w:val="0"/>
          <w:sz w:val="24"/>
          <w:highlight w:val="none"/>
        </w:rPr>
        <w:t xml:space="preserve">Во всех режимах, кроме режима счетчика, используется коэффициент предделителя, позволяющий изменить частоту работы таймера (поделить частоту тактового сигнала микроконтроллера на 1, 8, 64, 256, 1024).</w:t>
      </w:r>
      <w:r>
        <w:rPr>
          <w:b w:val="0"/>
          <w:sz w:val="24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  <w:jc w:val="center"/>
      <w:rPr>
        <w:sz w:val="24"/>
      </w:rPr>
    </w:pP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  <w:p>
    <w:pPr>
      <w:pStyle w:val="71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4">
    <w:name w:val="Heading 1"/>
    <w:basedOn w:val="862"/>
    <w:next w:val="862"/>
    <w:link w:val="68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85">
    <w:name w:val="Heading 1 Char"/>
    <w:basedOn w:val="863"/>
    <w:link w:val="684"/>
    <w:uiPriority w:val="9"/>
    <w:rPr>
      <w:rFonts w:ascii="Arial" w:hAnsi="Arial" w:cs="Arial" w:eastAsia="Arial"/>
      <w:sz w:val="40"/>
      <w:szCs w:val="40"/>
    </w:rPr>
  </w:style>
  <w:style w:type="paragraph" w:styleId="686">
    <w:name w:val="Heading 2"/>
    <w:basedOn w:val="862"/>
    <w:next w:val="862"/>
    <w:link w:val="68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87">
    <w:name w:val="Heading 2 Char"/>
    <w:basedOn w:val="863"/>
    <w:link w:val="686"/>
    <w:uiPriority w:val="9"/>
    <w:rPr>
      <w:rFonts w:ascii="Arial" w:hAnsi="Arial" w:cs="Arial" w:eastAsia="Arial"/>
      <w:sz w:val="34"/>
    </w:rPr>
  </w:style>
  <w:style w:type="paragraph" w:styleId="688">
    <w:name w:val="Heading 3"/>
    <w:basedOn w:val="862"/>
    <w:next w:val="862"/>
    <w:link w:val="68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89">
    <w:name w:val="Heading 3 Char"/>
    <w:basedOn w:val="863"/>
    <w:link w:val="688"/>
    <w:uiPriority w:val="9"/>
    <w:rPr>
      <w:rFonts w:ascii="Arial" w:hAnsi="Arial" w:cs="Arial" w:eastAsia="Arial"/>
      <w:sz w:val="30"/>
      <w:szCs w:val="30"/>
    </w:rPr>
  </w:style>
  <w:style w:type="paragraph" w:styleId="690">
    <w:name w:val="Heading 4"/>
    <w:basedOn w:val="862"/>
    <w:next w:val="862"/>
    <w:link w:val="69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91">
    <w:name w:val="Heading 4 Char"/>
    <w:basedOn w:val="863"/>
    <w:link w:val="690"/>
    <w:uiPriority w:val="9"/>
    <w:rPr>
      <w:rFonts w:ascii="Arial" w:hAnsi="Arial" w:cs="Arial" w:eastAsia="Arial"/>
      <w:b/>
      <w:bCs/>
      <w:sz w:val="26"/>
      <w:szCs w:val="26"/>
    </w:rPr>
  </w:style>
  <w:style w:type="paragraph" w:styleId="692">
    <w:name w:val="Heading 5"/>
    <w:basedOn w:val="862"/>
    <w:next w:val="862"/>
    <w:link w:val="69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93">
    <w:name w:val="Heading 5 Char"/>
    <w:basedOn w:val="863"/>
    <w:link w:val="692"/>
    <w:uiPriority w:val="9"/>
    <w:rPr>
      <w:rFonts w:ascii="Arial" w:hAnsi="Arial" w:cs="Arial" w:eastAsia="Arial"/>
      <w:b/>
      <w:bCs/>
      <w:sz w:val="24"/>
      <w:szCs w:val="24"/>
    </w:rPr>
  </w:style>
  <w:style w:type="paragraph" w:styleId="694">
    <w:name w:val="Heading 6"/>
    <w:basedOn w:val="862"/>
    <w:next w:val="862"/>
    <w:link w:val="69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95">
    <w:name w:val="Heading 6 Char"/>
    <w:basedOn w:val="863"/>
    <w:link w:val="694"/>
    <w:uiPriority w:val="9"/>
    <w:rPr>
      <w:rFonts w:ascii="Arial" w:hAnsi="Arial" w:cs="Arial" w:eastAsia="Arial"/>
      <w:b/>
      <w:bCs/>
      <w:sz w:val="22"/>
      <w:szCs w:val="22"/>
    </w:rPr>
  </w:style>
  <w:style w:type="paragraph" w:styleId="696">
    <w:name w:val="Heading 7"/>
    <w:basedOn w:val="862"/>
    <w:next w:val="862"/>
    <w:link w:val="69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97">
    <w:name w:val="Heading 7 Char"/>
    <w:basedOn w:val="863"/>
    <w:link w:val="69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98">
    <w:name w:val="Heading 8"/>
    <w:basedOn w:val="862"/>
    <w:next w:val="862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99">
    <w:name w:val="Heading 8 Char"/>
    <w:basedOn w:val="863"/>
    <w:link w:val="698"/>
    <w:uiPriority w:val="9"/>
    <w:rPr>
      <w:rFonts w:ascii="Arial" w:hAnsi="Arial" w:cs="Arial" w:eastAsia="Arial"/>
      <w:i/>
      <w:iCs/>
      <w:sz w:val="22"/>
      <w:szCs w:val="22"/>
    </w:rPr>
  </w:style>
  <w:style w:type="paragraph" w:styleId="700">
    <w:name w:val="Heading 9"/>
    <w:basedOn w:val="862"/>
    <w:next w:val="862"/>
    <w:link w:val="70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01">
    <w:name w:val="Heading 9 Char"/>
    <w:basedOn w:val="863"/>
    <w:link w:val="700"/>
    <w:uiPriority w:val="9"/>
    <w:rPr>
      <w:rFonts w:ascii="Arial" w:hAnsi="Arial" w:cs="Arial" w:eastAsia="Arial"/>
      <w:i/>
      <w:iCs/>
      <w:sz w:val="21"/>
      <w:szCs w:val="21"/>
    </w:rPr>
  </w:style>
  <w:style w:type="paragraph" w:styleId="702">
    <w:name w:val="List Paragraph"/>
    <w:basedOn w:val="862"/>
    <w:uiPriority w:val="34"/>
    <w:qFormat/>
    <w:pPr>
      <w:contextualSpacing/>
      <w:ind w:left="720"/>
    </w:pPr>
  </w:style>
  <w:style w:type="paragraph" w:styleId="703">
    <w:name w:val="No Spacing"/>
    <w:uiPriority w:val="1"/>
    <w:qFormat/>
    <w:pPr>
      <w:spacing w:before="0" w:after="0" w:line="240" w:lineRule="auto"/>
    </w:pPr>
  </w:style>
  <w:style w:type="paragraph" w:styleId="704">
    <w:name w:val="Title"/>
    <w:basedOn w:val="862"/>
    <w:next w:val="862"/>
    <w:link w:val="70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5">
    <w:name w:val="Title Char"/>
    <w:basedOn w:val="863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3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>
    <w:name w:val="Header Char"/>
    <w:basedOn w:val="863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5">
    <w:name w:val="Footer Char"/>
    <w:basedOn w:val="863"/>
    <w:link w:val="714"/>
    <w:uiPriority w:val="99"/>
  </w:style>
  <w:style w:type="paragraph" w:styleId="716">
    <w:name w:val="Caption"/>
    <w:basedOn w:val="862"/>
    <w:next w:val="86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5">
    <w:name w:val="Grid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7">
    <w:name w:val="Grid Table 4 - Accent 1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8">
    <w:name w:val="Grid Table 4 - Accent 2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9">
    <w:name w:val="Grid Table 4 - Accent 3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0">
    <w:name w:val="Grid Table 4 - Accent 4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1">
    <w:name w:val="Grid Table 4 - Accent 5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2">
    <w:name w:val="Grid Table 4 - Accent 6"/>
    <w:basedOn w:val="86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3">
    <w:name w:val="Grid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0">
    <w:name w:val="Grid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2">
    <w:name w:val="List Table 2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3">
    <w:name w:val="List Table 2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4">
    <w:name w:val="List Table 2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5">
    <w:name w:val="List Table 2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6">
    <w:name w:val="List Table 2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7">
    <w:name w:val="List Table 2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8">
    <w:name w:val="List Table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0">
    <w:name w:val="List Table 6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1">
    <w:name w:val="List Table 6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2">
    <w:name w:val="List Table 6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3">
    <w:name w:val="List Table 6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4">
    <w:name w:val="List Table 6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5">
    <w:name w:val="List Table 6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6">
    <w:name w:val="List Table 7 Colorful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4">
    <w:name w:val="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5">
    <w:name w:val="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6">
    <w:name w:val="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7">
    <w:name w:val="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8">
    <w:name w:val="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9">
    <w:name w:val="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0">
    <w:name w:val="Bordered &amp; Lined - Accent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1">
    <w:name w:val="Bordered &amp; Lined - Accent 1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32">
    <w:name w:val="Bordered &amp; Lined - Accent 2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3">
    <w:name w:val="Bordered &amp; Lined - Accent 3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4">
    <w:name w:val="Bordered &amp; Lined - Accent 4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5">
    <w:name w:val="Bordered &amp; Lined - Accent 5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36">
    <w:name w:val="Bordered &amp; Lined - Accent 6"/>
    <w:basedOn w:val="86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7">
    <w:name w:val="Bordered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8">
    <w:name w:val="Bordered - Accent 1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9">
    <w:name w:val="Bordered - Accent 2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0">
    <w:name w:val="Bordered - Accent 3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1">
    <w:name w:val="Bordered - Accent 4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2">
    <w:name w:val="Bordered - Accent 5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3">
    <w:name w:val="Bordered - Accent 6"/>
    <w:basedOn w:val="86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pPr>
      <w:spacing w:after="40" w:line="240" w:lineRule="auto"/>
    </w:pPr>
    <w:rPr>
      <w:sz w:val="18"/>
    </w:r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basedOn w:val="863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pPr>
      <w:spacing w:after="0" w:line="240" w:lineRule="auto"/>
    </w:pPr>
    <w:rPr>
      <w:sz w:val="20"/>
    </w:r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basedOn w:val="863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63" w:default="1">
    <w:name w:val="Default Paragraph Font"/>
    <w:uiPriority w:val="1"/>
    <w:semiHidden/>
    <w:unhideWhenUsed/>
  </w:style>
  <w:style w:type="table" w:styleId="86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5" w:default="1">
    <w:name w:val="No List"/>
    <w:uiPriority w:val="99"/>
    <w:semiHidden/>
    <w:unhideWhenUsed/>
  </w:style>
  <w:style w:type="paragraph" w:styleId="86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paragraph" w:styleId="867" w:customStyle="1">
    <w:name w:val="Обычный2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Arial" w:hAnsi="Arial" w:cs="Arial" w:eastAsia="Arial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2"/>
      <w:szCs w:val="22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19</cp:revision>
  <dcterms:created xsi:type="dcterms:W3CDTF">2021-09-11T09:19:00Z</dcterms:created>
  <dcterms:modified xsi:type="dcterms:W3CDTF">2022-04-21T14:43:22Z</dcterms:modified>
</cp:coreProperties>
</file>