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</w:p>
    <w:p>
      <w:pPr>
        <w:pStyle w:val="70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>
        <w:rPr>
          <w:sz w:val="24"/>
        </w:rPr>
      </w:r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spacing w:line="360" w:lineRule="auto"/>
        <w:shd w:val="nil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/>
    </w:p>
    <w:p>
      <w:pPr>
        <w:shd w:val="nil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ind w:firstLine="708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/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/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2022-04-19T21:07:55Z</dcterms:modified>
</cp:coreProperties>
</file>