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</w:t>
      </w:r>
      <w:r>
        <w:rPr>
          <w:rFonts w:ascii="Times New Roman" w:hAnsi="Times New Roman"/>
          <w:b/>
          <w:u w:val="single"/>
        </w:rPr>
        <w:t xml:space="preserve">Т.А.</w:t>
      </w:r>
      <w:r>
        <w:rPr>
          <w:rFonts w:ascii="Times New Roman" w:hAnsi="Times New Roman"/>
          <w:b/>
          <w:u w:val="none"/>
        </w:rPr>
        <w:t xml:space="preserve">_</w:t>
      </w:r>
      <w:r>
        <w:rPr>
          <w:rFonts w:ascii="Times New Roman" w:hAnsi="Times New Roman"/>
          <w:b/>
          <w:u w:val="single"/>
        </w:rPr>
        <w:t xml:space="preserve">Ким</w:t>
      </w:r>
      <w:r>
        <w:rPr>
          <w:rFonts w:ascii="Times New Roman" w:hAnsi="Times New Roman"/>
          <w:b/>
        </w:rPr>
        <w:t xml:space="preserve">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rFonts w:eastAsiaTheme="majorEastAsia"/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magenta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Записка</w:t>
      </w:r>
      <w:r>
        <w:rPr>
          <w:rFonts w:ascii="Times New Roman" w:hAnsi="Times New Roman"/>
          <w:sz w:val="28"/>
          <w:highlight w:val="magenta"/>
        </w:rPr>
        <w:t xml:space="preserve"> </w:t>
      </w:r>
      <w:r>
        <w:rPr>
          <w:rFonts w:ascii="Times New Roman" w:hAnsi="Times New Roman"/>
          <w:sz w:val="28"/>
          <w:highlight w:val="magenta"/>
        </w:rPr>
        <w:t xml:space="preserve">34 с</w:t>
      </w:r>
      <w:r>
        <w:rPr>
          <w:rFonts w:ascii="Times New Roman" w:hAnsi="Times New Roman"/>
          <w:sz w:val="28"/>
          <w:highlight w:val="magenta"/>
        </w:rPr>
        <w:t xml:space="preserve">тр., 11 рис.,  0 табл., N источника, 5 прил.</w:t>
      </w:r>
      <w:r>
        <w:rPr>
          <w:highlight w:val="magenta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tabs>
              <w:tab w:val="right" w:pos="9355" w:leader="dot"/>
            </w:tabs>
            <w:rPr>
              <w:highlight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5" w:anchor="_Toc15" w:history="1">
            <w:r>
              <w:rPr>
                <w:rStyle w:val="985"/>
              </w:rPr>
            </w:r>
            <w:r>
              <w:rPr>
                <w:rStyle w:val="985"/>
                <w:highlight w:val="none"/>
              </w:rPr>
              <w:t xml:space="preserve">Введение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/>
              <w:highlight w:val="none"/>
            </w:rPr>
          </w:pPr>
          <w:r/>
          <w:hyperlink w:tooltip="#_Toc16" w:anchor="_Toc16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/>
                <w:highlight w:val="none"/>
              </w:rPr>
              <w:t xml:space="preserve">1 Анализ предметной области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/>
              <w:highlight w:val="none"/>
            </w:rPr>
          </w:r>
          <w:r/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</w:rPr>
          </w:pPr>
          <w:r/>
          <w:hyperlink w:tooltip="#_Toc17" w:anchor="_Toc17" w:history="1">
            <w:r>
              <w:rPr>
                <w:rStyle w:val="985"/>
              </w:rPr>
            </w:r>
            <w:r>
              <w:rPr>
                <w:rStyle w:val="985"/>
                <w:rFonts w:ascii="FreeMono" w:hAnsi="FreeMono" w:cs="FreeMono" w:eastAsia="FreeMono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2 </w:t>
            </w:r>
            <w:r>
              <w:rPr>
                <w:rStyle w:val="985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электрической функциональной схемы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</w:rPr>
          </w:r>
          <w:r/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highlight w:val="none"/>
            </w:rPr>
          </w:pPr>
          <w:r/>
          <w:hyperlink w:tooltip="#_Toc18" w:anchor="_Toc18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 Разработка описания устройства на языке Verilog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9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highlight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r/>
          <w:hyperlink w:tooltip="#_Toc19" w:anchor="_Toc19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1 Разработка вычислительного блока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r/>
          <w:hyperlink w:tooltip="#_Toc20" w:anchor="_Toc20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3.2 Разработка блока памяти переменных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12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r/>
          <w:hyperlink w:tooltip="#_Toc21" w:anchor="_Toc21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3.3 Разработка блока выходного буфера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14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2" w:anchor="_Toc22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управления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15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3" w:anchor="_Toc23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3.5 Разработка описания устройства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17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4" w:anchor="_Toc24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3.6 Синтез RTL-схемы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highlight w:val="none"/>
            </w:rPr>
          </w:pPr>
          <w:r/>
          <w:hyperlink w:tooltip="#_Toc25" w:anchor="_Toc25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Назначение контактов микросхемы портам проекта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20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highlight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b w:val="0"/>
              <w:highlight w:val="magenta"/>
            </w:rPr>
          </w:pPr>
          <w:r/>
          <w:hyperlink w:tooltip="#_Toc26" w:anchor="_Toc26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В качестве ПЛИС для прошивки проекта была выбрана ПЛИС Spartan-3 XC3S400.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XC3S400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[5].</w:t>
            </w:r>
            <w:r>
              <w:rPr>
                <w:rStyle w:val="985"/>
                <w:b w:val="0"/>
                <w:highlight w:val="magenta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20</w:t>
              <w:fldChar w:fldCharType="end"/>
            </w:r>
          </w:hyperlink>
          <w:r>
            <w:rPr>
              <w:b w:val="0"/>
              <w:highlight w:val="magenta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highlight w:val="none"/>
            </w:rPr>
          </w:pPr>
          <w:r/>
          <w:hyperlink w:tooltip="#_Toc27" w:anchor="_Toc27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8" w:anchor="_Toc28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5.1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Моделирование работы схемы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/>
              <w:highlight w:val="none"/>
            </w:rPr>
          </w:pPr>
          <w:r/>
          <w:hyperlink w:tooltip="#_Toc29" w:anchor="_Toc29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5.2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 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/>
              <w:highlight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highlight w:val="none"/>
            </w:rPr>
          </w:pPr>
          <w:r/>
          <w:hyperlink w:tooltip="#_Toc30" w:anchor="_Toc30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Заключение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highlight w:val="none"/>
            </w:rPr>
          </w:r>
          <w:r/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/>
              <w:highlight w:val="none"/>
            </w:rPr>
          </w:pPr>
          <w:r/>
          <w:hyperlink w:tooltip="#_Toc31" w:anchor="_Toc31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/>
                <w:highlight w:val="none"/>
              </w:rPr>
              <w:t xml:space="preserve">СПИСОК ИСПОЛЬЗОВАННОЙ ЛИТЕРАТУРЫ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/>
              <w:highlight w:val="none"/>
            </w:rPr>
          </w:r>
          <w:r/>
        </w:p>
        <w:p>
          <w:pPr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red"/>
              <w:u w:val="none"/>
            </w:rPr>
          </w:pP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rPr>
          <w:highlight w:val="none"/>
        </w:rPr>
      </w:pPr>
      <w:r/>
      <w:bookmarkStart w:id="15" w:name="_Toc15"/>
      <w:r>
        <w:rPr>
          <w:highlight w:val="none"/>
        </w:rPr>
        <w:t xml:space="preserve">Введение</w:t>
      </w:r>
      <w:bookmarkEnd w:id="15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</w:t>
      </w:r>
      <w:r>
        <w:rPr>
          <w:rFonts w:ascii="Times New Roman" w:hAnsi="Times New Roman"/>
          <w:sz w:val="28"/>
          <w:highlight w:val="none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</w:t>
      </w:r>
      <w:r>
        <w:rPr>
          <w:rFonts w:ascii="Times New Roman" w:hAnsi="Times New Roman"/>
          <w:sz w:val="28"/>
          <w:highlight w:val="none"/>
        </w:rPr>
        <w:t xml:space="preserve">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120" w:lineRule="auto"/>
        <w:rPr>
          <w:rFonts w:ascii="Times New Roman" w:hAnsi="Times New Roman"/>
          <w:b/>
          <w:sz w:val="28"/>
          <w:highlight w:val="none"/>
        </w:rPr>
      </w:pPr>
      <w:r/>
      <w:bookmarkStart w:id="16" w:name="_Toc16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bookmarkEnd w:id="16"/>
      <w:r>
        <w:rPr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b/>
          <w:sz w:val="28"/>
        </w:rPr>
      </w:pPr>
      <w:r/>
      <w:bookmarkStart w:id="17" w:name="_Toc17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17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18" w:name="_Toc18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18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19" w:name="_Toc19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19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«Сигма-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0»: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«Сигма-0»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20" w:name="_Toc20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20"/>
      <w:r/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21" w:name="_Toc21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21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2" w:name="_Toc22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22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3" w:name="_Toc23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bookmarkEnd w:id="23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4" w:name="_Toc24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bookmarkEnd w:id="24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57785" cy="430728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8649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9457784" cy="430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744.7pt;height:339.2pt;rotation:269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5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5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6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5040" cy="366713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2398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0" t="0" r="1441" b="0"/>
                        <a:stretch/>
                      </pic:blipFill>
                      <pic:spPr bwMode="auto">
                        <a:xfrm flipH="0" flipV="0">
                          <a:off x="0" y="0"/>
                          <a:ext cx="5855039" cy="3667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1.0pt;height:288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7 и 8 приведены примеры RTL схем блоков, вычисляющих значение функций t1 и t2 соответственно.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93165" cy="3326688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6093164" cy="33266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79.8pt;height:261.9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t2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</w:rPr>
      </w:r>
    </w:p>
    <w:p>
      <w:pPr>
        <w:ind w:left="0" w:righ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На рисунке 9 приведен пример RTL-схемы выходного буфера.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7897845" cy="5894768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5399978" flipH="0" flipV="0">
                          <a:off x="0" y="0"/>
                          <a:ext cx="7897844" cy="5894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621.9pt;height:464.2pt;rotation:8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cs="Times New Roman" w:eastAsia="Times New Roman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выходного буфера</w:t>
      </w:r>
      <w:r>
        <w:rPr>
          <w:rStyle w:val="979"/>
        </w:rPr>
      </w:r>
    </w:p>
    <w:p>
      <w:pPr>
        <w:pStyle w:val="807"/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bookmarkStart w:id="25" w:name="_Toc25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Назначение контактов микросхемы портам проекта</w:t>
      </w:r>
      <w:bookmarkEnd w:id="25"/>
      <w:r>
        <w:rPr>
          <w:highlight w:val="none"/>
        </w:rPr>
      </w:r>
      <w:r/>
    </w:p>
    <w:p>
      <w:pPr>
        <w:ind w:firstLine="708"/>
        <w:jc w:val="both"/>
        <w:spacing w:line="360" w:lineRule="auto"/>
        <w:rPr>
          <w:b w:val="0"/>
          <w:highlight w:val="magenta"/>
        </w:rPr>
      </w:pPr>
      <w:r/>
      <w:bookmarkStart w:id="26" w:name="_Toc26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[6].</w:t>
      </w:r>
      <w:bookmarkEnd w:id="26"/>
      <w:r>
        <w:rPr>
          <w:b w:val="0"/>
          <w:highlight w:val="magenta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whit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ПЛИС и портами проекта. Работа с утилитой PlanAhead показана на рисунке 10.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0077" cy="3744405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157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860077" cy="3744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61.4pt;height:294.8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10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jc w:val="center"/>
        <w:spacing w:after="0" w:afterAutospacing="0"/>
        <w:rPr>
          <w:b/>
          <w:highlight w:val="none"/>
        </w:rPr>
      </w:pPr>
      <w:r/>
      <w:bookmarkStart w:id="27" w:name="_Toc27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bookmarkEnd w:id="27"/>
      <w:r>
        <w:rPr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8" w:name="_Toc28"/>
      <w:r>
        <w:rPr>
          <w:highlight w:val="none"/>
        </w:rPr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bookmarkEnd w:id="28"/>
      <w:r>
        <w:rPr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9" w:name="_Toc29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29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11.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11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30" w:name="_Toc30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>
        <w:rPr>
          <w:highlight w:val="none"/>
        </w:rPr>
      </w:r>
      <w:bookmarkEnd w:id="30"/>
      <w:r>
        <w:rPr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rPr>
          <w:rFonts w:ascii="Times New Roman" w:hAnsi="Times New Roman"/>
          <w:sz w:val="28"/>
          <w:highlight w:val="none"/>
        </w:rPr>
      </w:pPr>
      <w:r/>
      <w:bookmarkStart w:id="31" w:name="_Toc31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31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rPr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r>
        <w:rPr>
          <w:highlight w:val="white"/>
        </w:rPr>
      </w:r>
    </w:p>
    <w:p>
      <w:pPr>
        <w:pStyle w:val="807"/>
        <w:rPr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r>
        <w:rPr>
          <w:highlight w:val="white"/>
        </w:rPr>
      </w:r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highlight w:val="white"/>
        </w:rPr>
      </w:r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709" w:right="0" w:hanging="425"/>
        <w:jc w:val="both"/>
        <w:spacing w:after="0" w:afterAutospacing="0" w:line="360" w:lineRule="auto"/>
        <w:rPr>
          <w:b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NOTES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—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Изменить функ. схему</w:t>
      </w:r>
      <w:r/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приложения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больше литературы + Попов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105</cp:revision>
  <dcterms:created xsi:type="dcterms:W3CDTF">2021-09-02T16:38:00Z</dcterms:created>
  <dcterms:modified xsi:type="dcterms:W3CDTF">2022-05-04T10:19:34Z</dcterms:modified>
</cp:coreProperties>
</file>