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Компьютерные системы и сети (ИУ6)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НАПРАВЛЕНИЕ ПОДГОТОВКИ   </w:t>
      </w:r>
      <w:r>
        <w:rPr>
          <w:rFonts w:ascii="Times New Roman" w:hAnsi="Times New Roman" w:cs="Times New Roman" w:eastAsia="Times New Roman"/>
          <w:b/>
          <w:caps/>
          <w:sz w:val="28"/>
          <w:szCs w:val="20"/>
          <w:lang w:eastAsia="ru-RU"/>
        </w:rPr>
        <w:t xml:space="preserve">09.03.03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прикладная информатика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Техническое задание на курсовую работу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olor w:val="FF66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Листов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4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4Б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С.П.Пантелеев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работы,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О.Ю.Ерёмин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(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кандидат технических наук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)   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2020</w:t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 ВВЕДЕНИЕ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«Вычислителя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SHA-256», именуемого в дальнейшем «устройством». Данное устройство предназначено для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расчета </w:t>
      </w:r>
      <w:r>
        <w:rPr>
          <w:rFonts w:ascii="Times New Roman" w:hAnsi="Times New Roman" w:cs="Times New Roman" w:eastAsia="Times New Roman"/>
          <w:sz w:val="24"/>
          <w:szCs w:val="24"/>
          <w:shd w:val="clear" w:color="ffff00" w:fill="ffff00"/>
          <w:lang w:eastAsia="ru-RU"/>
        </w:rPr>
        <w:t xml:space="preserve">результатов выполнен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shd w:val="clear" w:color="ffff00" w:fill="ffff00"/>
          <w:lang w:eastAsia="ru-RU"/>
        </w:rPr>
        <w:t xml:space="preserve">ия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shd w:val="clear" w:color="ffff00" w:fill="ffff00"/>
          <w:lang w:eastAsia="ru-RU"/>
        </w:rPr>
        <w:t xml:space="preserve">внутреннего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алгоритма хеширования SHA-256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. Устройство необходимо выполнить на основе ПЛИС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.</w:t>
      </w:r>
      <w:r>
        <w:rPr>
          <w:highlight w:val="none"/>
        </w:rPr>
      </w:r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  <w:t xml:space="preserve">Вычислитель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используется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при вычислении </w:t>
      </w:r>
      <w:r>
        <w:rPr>
          <w:rFonts w:ascii="Times New Roman" w:hAnsi="Times New Roman" w:cs="Times New Roman" w:eastAsia="Times New Roman"/>
          <w:sz w:val="24"/>
        </w:rPr>
        <w:t xml:space="preserve">контрольных сумм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данных для последующего обнаружения в них ошибок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 выработке электронной подписи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 ОСНОВАНИЯ ДЛЯ РАЗРАБОТКИ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Устройство разрабатывается на осн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ове учебного плана кафедры ИУ6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 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«Компьютерные системы и сети» Московского го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сударственного технического университета им. Н.Э.Баумана.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ЦЕЛИ И ЗАДАЧИ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3.1. Цель работы</w:t>
      </w:r>
      <w:r/>
    </w:p>
    <w:p>
      <w:pPr>
        <w:jc w:val="bot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курсового проектирования является разработка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вычислителя </w:t>
      </w:r>
      <w:r>
        <w:rPr>
          <w:rFonts w:ascii="Times New Roman" w:hAnsi="Times New Roman" w:cs="Times New Roman" w:eastAsia="Times New Roman"/>
          <w:sz w:val="24"/>
          <w:szCs w:val="24"/>
          <w:shd w:val="clear" w:color="ffff00" w:fill="ffff00"/>
          <w:lang w:eastAsia="ru-RU"/>
        </w:rPr>
        <w:t xml:space="preserve">результатов выполнения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hd w:val="clear" w:color="ffff00" w:fill="ffff00"/>
          <w:lang w:eastAsia="ru-RU"/>
        </w:rPr>
        <w:t xml:space="preserve">внутренне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 Решаемые задачи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3.2.1. Анализ технического задания и возможных путей решения поставленной задачи.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3.2.2. Обоснование и синтез электрической функциональной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3.2.3. Выбор элементной базы на основании технических требований.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3.2.4. Разработка электрической принципиальной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3.2.5. Построение временных диаграмм.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3.2.6. Расчет параметров мощности устройства.</w:t>
      </w:r>
      <w:r/>
    </w:p>
    <w:p>
      <w:pPr>
        <w:jc w:val="center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РАЗРАБАТЫВАЕМОМУ УСТРОЙСТВУ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 Требования к составу и параметрам технических средств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4.1.1. Количество информационных входов - 7, информационных выходов - 6.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  <w:t xml:space="preserve">4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 Разрядность </w:t>
      </w:r>
      <w:r>
        <w:rPr>
          <w:rFonts w:ascii="Liberation Mono" w:hAnsi="Liberation Mono" w:cs="Liberation Mono" w:eastAsia="Liberation Mono"/>
          <w:sz w:val="24"/>
          <w:szCs w:val="24"/>
          <w:lang w:eastAsia="ru-RU"/>
        </w:rPr>
        <w:t xml:space="preserve">информационных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входов и выходов - 32.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4.1.3. Устройство реализуется на базе ПЛИС.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4.1.4. Тактовая частота –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10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МГц.</w:t>
      </w:r>
      <w:r/>
    </w:p>
    <w:p>
      <w:pPr>
        <w:spacing w:after="0" w:line="360" w:lineRule="auto"/>
        <w:shd w:val="clear" w:color="ffff00" w:fill="ffff00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 Мощность потребления – не более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Вт.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 Требования к эксплуатации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4.2.1. Условия эксплуатации в соответствие с СанПиН2.2.2/2.4.1340-03.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4.3. Требования к маркировке и упаковке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маркировке и упаковке не предъявляются.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4.4. Требования к транспортированию и хранению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транспортировке и хранению не предъявляются.</w:t>
      </w:r>
      <w:r/>
    </w:p>
    <w:p>
      <w:pPr>
        <w:ind w:left="709" w:right="283" w:firstLine="0"/>
        <w:jc w:val="center"/>
        <w:spacing w:before="240" w:after="119" w:line="85" w:lineRule="atLeast"/>
        <w:rPr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5 ОПИСАНИЕ РАБОТЫ УСТРОЙСТВА</w:t>
      </w:r>
      <w:r>
        <w:rPr>
          <w:b w:val="0"/>
        </w:rPr>
      </w:r>
    </w:p>
    <w:p>
      <w:pPr>
        <w:ind w:left="709" w:right="283" w:firstLine="707"/>
        <w:jc w:val="both"/>
        <w:spacing w:before="220" w:after="119" w:line="85" w:lineRule="atLeast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Устройство должно рассчитывать </w:t>
      </w:r>
      <w:r>
        <w:rPr>
          <w:rFonts w:ascii="Times New Roman" w:hAnsi="Times New Roman" w:cs="Times New Roman" w:eastAsia="Times New Roman"/>
          <w:sz w:val="24"/>
          <w:szCs w:val="24"/>
          <w:shd w:val="clear" w:color="ffff00" w:fill="ffff00"/>
          <w:lang w:eastAsia="ru-RU"/>
        </w:rPr>
        <w:t xml:space="preserve">результаты выполнения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shd w:val="clear" w:color="ffff00" w:fill="ffff00"/>
          <w:lang w:eastAsia="ru-RU"/>
        </w:rPr>
        <w:t xml:space="preserve">внутренне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В начале каждого раунда хеширования (каждые 64 итерации внутреннего цикла) на информационные входы подаются новые значения вспомогательных </w:t>
      </w:r>
      <w:r>
        <w:rPr>
          <w:rFonts w:ascii="Times New Roman" w:hAnsi="Times New Roman" w:cs="Times New Roman" w:eastAsia="Times New Roman"/>
          <w:color w:val="000000"/>
          <w:sz w:val="24"/>
          <w:shd w:val="clear" w:color="ffffff" w:themeColor="background1" w:fill="ffffff" w:themeFill="background1"/>
        </w:rPr>
        <w:t xml:space="preserve">переменных, запись которых в память устройства обеспечивается соответствующим управляющим сигналом</w:t>
      </w:r>
      <w:r>
        <w:rPr>
          <w:rFonts w:ascii="Times New Roman" w:hAnsi="Times New Roman" w:cs="Times New Roman" w:eastAsia="Times New Roman"/>
          <w:color w:val="000000"/>
          <w:sz w:val="24"/>
          <w:shd w:val="clear" w:color="ffffff" w:themeColor="background1" w:fill="ffffff" w:themeFill="background1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 ходе каждой итерации на </w:t>
      </w:r>
      <w:r>
        <w:rPr>
          <w:rFonts w:ascii="Times New Roman" w:hAnsi="Times New Roman" w:cs="Times New Roman" w:eastAsia="Times New Roman"/>
          <w:color w:val="000000"/>
          <w:sz w:val="24"/>
          <w:shd w:val="clear" w:color="ffff00" w:fill="ffff00"/>
        </w:rPr>
        <w:t xml:space="preserve">седьмой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информационный вход подается фрагмент информационного сообщения. Расчет результатов итерации выполняется по положительному фронту тактирующего сигнала. Результаты вычислений записываются в память устройства в следующем такте.</w:t>
      </w:r>
      <w:r>
        <w:rPr>
          <w:sz w:val="24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ДОКУМЕНТАЦИИ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В состав сопровождающей документации должны входить: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6.1.1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Расчетно-пояснительная записка на 25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30 листах формата А4;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6.1.2 Техническое задание;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6.1.3 Спецификация.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Графическая часть должна быть включена в расчетно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пояснительную записку в качестве приложений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иллюстраций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: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6.2.1 Временные диаграммы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структурная;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6.2.3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функциональная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принципиальная.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hd w:val="nil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7 СТАДИИ И ЭТАПЫ РАЗРАБОТКИ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Таблица 1 – Этапы разработки</w:t>
      </w:r>
      <w:r/>
    </w:p>
    <w:tbl>
      <w:tblPr>
        <w:tblStyle w:val="683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Название этапа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Срок, % выполнения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Отчетность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Исследование предметной области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 – 4 нед., 15%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Описание общего принципа работ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ы устройства.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Разработка технического задания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 нед., 20%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tabs>
                <w:tab w:val="left" w:pos="708" w:leader="none"/>
                <w:tab w:val="left" w:pos="1164" w:leader="none"/>
              </w:tabs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Техническое задание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 – 7 нед. 40%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Функциональная 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и</w:t>
            </w: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 разработка принципиальной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8 – 10 нед. 60%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Принципиальная 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Оформление расчетно-пояснительной записки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11 – 14 нед. 90%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ind w:left="708" w:hanging="708"/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Расчетно-поясн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итель-ная записка 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684"/>
                <w:rFonts w:ascii="Times New Roman" w:hAnsi="Times New Roman"/>
                <w:sz w:val="24"/>
                <w:szCs w:val="24"/>
              </w:rPr>
              <w:t xml:space="preserve">Защита курсовой работы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15 – 16 нед., 100%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Доклад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– 5 минут)</w:t>
            </w:r>
            <w:r/>
          </w:p>
        </w:tc>
      </w:tr>
    </w:tbl>
    <w:p>
      <w:pPr>
        <w:jc w:val="center"/>
        <w:spacing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8 ПОРЯДОК КОНТРОЛЯ И ПРИЕМА</w:t>
      </w:r>
      <w:r/>
    </w:p>
    <w:p>
      <w:pPr>
        <w:pStyle w:val="671"/>
      </w:pPr>
      <w:r>
        <w:tab/>
      </w:r>
      <w:r>
        <w:t xml:space="preserve">8</w:t>
      </w:r>
      <w:r>
        <w:t xml:space="preserve">.1 Порядок контроля</w:t>
      </w:r>
      <w:r/>
    </w:p>
    <w:p>
      <w:pPr>
        <w:pStyle w:val="671"/>
      </w:pPr>
      <w:r>
        <w:rPr>
          <w:szCs w:val="24"/>
        </w:rPr>
        <w:tab/>
      </w:r>
      <w:r>
        <w:rPr>
          <w:szCs w:val="24"/>
        </w:rPr>
        <w:t xml:space="preserve">Контроль выполнения осуществляется руководителем еженедельно.</w:t>
      </w:r>
      <w:r/>
    </w:p>
    <w:p>
      <w:pPr>
        <w:pStyle w:val="671"/>
        <w:rPr>
          <w:rFonts w:ascii="Tibetan Machine Uni" w:hAnsi="Tibetan Machine Uni" w:cs="Tibetan Machine Uni" w:eastAsia="Tibetan Machine Uni"/>
        </w:rPr>
      </w:pPr>
      <w:r>
        <w:tab/>
      </w:r>
      <w:r>
        <w:t xml:space="preserve">8</w:t>
      </w:r>
      <w:r>
        <w:t xml:space="preserve">.2 Порядок защиты</w:t>
      </w:r>
      <w:r>
        <w:rPr>
          <w:rFonts w:ascii="Tibetan Machine Uni" w:hAnsi="Tibetan Machine Uni" w:cs="Tibetan Machine Uni" w:eastAsia="Tibetan Machine Uni"/>
        </w:rPr>
      </w:r>
      <w:r>
        <w:rPr>
          <w:rFonts w:ascii="Tibetan Machine Uni" w:hAnsi="Tibetan Machine Uni" w:cs="Tibetan Machine Uni" w:eastAsia="Tibetan Machine Uni"/>
        </w:rPr>
      </w:r>
    </w:p>
    <w:p>
      <w:pPr>
        <w:pStyle w:val="671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Защита осуществляется перед комиссией, состоящей из преподавателей кафедры ИУ6.</w:t>
      </w:r>
      <w:r/>
    </w:p>
    <w:p>
      <w:pPr>
        <w:pStyle w:val="671"/>
      </w:pPr>
      <w:r>
        <w:tab/>
      </w:r>
      <w:r>
        <w:t xml:space="preserve">8</w:t>
      </w:r>
      <w:r>
        <w:t xml:space="preserve">.3 Срок защиты</w:t>
      </w:r>
      <w:r/>
    </w:p>
    <w:p>
      <w:pPr>
        <w:pStyle w:val="671"/>
      </w:pPr>
      <w:r>
        <w:rPr>
          <w:szCs w:val="24"/>
        </w:rPr>
        <w:tab/>
      </w:r>
      <w:r>
        <w:rPr>
          <w:szCs w:val="24"/>
        </w:rPr>
        <w:t xml:space="preserve">Срок защиты: 15-16 недели.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48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9 ПРИМ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ЧАНИЕ</w:t>
      </w:r>
      <w:r/>
    </w:p>
    <w:p>
      <w:pPr>
        <w:pStyle w:val="680"/>
        <w:spacing w:line="360" w:lineRule="auto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Mono">
    <w:panose1 w:val="02070409020205020404"/>
  </w:font>
  <w:font w:name="Liberation Serif">
    <w:panose1 w:val="020206030504050203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7"/>
      <w:jc w:val="center"/>
    </w:pPr>
    <w:fldSimple w:instr="PAGE \* MERGEFORMAT">
      <w:r>
        <w:rPr>
          <w:rFonts w:ascii="Liberation Serif" w:hAnsi="Liberation Serif" w:cs="Liberation Serif" w:eastAsia="Liberation Serif"/>
          <w:sz w:val="24"/>
        </w:rPr>
        <w:t xml:space="preserve">1</w:t>
      </w:r>
    </w:fldSimple>
    <w:r>
      <w:rPr>
        <w:rFonts w:ascii="Liberation Serif" w:hAnsi="Liberation Serif" w:cs="Liberation Serif" w:eastAsia="Liberation Serif"/>
        <w:sz w:val="24"/>
      </w:rPr>
    </w:r>
    <w:r/>
  </w:p>
  <w:p>
    <w:pPr>
      <w:pStyle w:val="677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70"/>
    <w:next w:val="670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72"/>
    <w:link w:val="11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72"/>
    <w:link w:val="671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70"/>
    <w:next w:val="670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72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70"/>
    <w:next w:val="670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72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70"/>
    <w:next w:val="670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72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70"/>
    <w:next w:val="670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72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70"/>
    <w:next w:val="670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72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70"/>
    <w:next w:val="670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72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70"/>
    <w:next w:val="670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72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70"/>
    <w:next w:val="670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72"/>
    <w:link w:val="32"/>
    <w:uiPriority w:val="10"/>
    <w:rPr>
      <w:sz w:val="48"/>
      <w:szCs w:val="48"/>
    </w:rPr>
  </w:style>
  <w:style w:type="paragraph" w:styleId="34">
    <w:name w:val="Subtitle"/>
    <w:basedOn w:val="670"/>
    <w:next w:val="670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72"/>
    <w:link w:val="34"/>
    <w:uiPriority w:val="11"/>
    <w:rPr>
      <w:sz w:val="24"/>
      <w:szCs w:val="24"/>
    </w:rPr>
  </w:style>
  <w:style w:type="paragraph" w:styleId="36">
    <w:name w:val="Quote"/>
    <w:basedOn w:val="670"/>
    <w:next w:val="670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70"/>
    <w:next w:val="670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72"/>
    <w:link w:val="675"/>
    <w:uiPriority w:val="99"/>
  </w:style>
  <w:style w:type="character" w:styleId="43">
    <w:name w:val="Footer Char"/>
    <w:basedOn w:val="672"/>
    <w:link w:val="677"/>
    <w:uiPriority w:val="99"/>
  </w:style>
  <w:style w:type="paragraph" w:styleId="44">
    <w:name w:val="Caption"/>
    <w:basedOn w:val="670"/>
    <w:next w:val="67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7"/>
    <w:uiPriority w:val="99"/>
  </w:style>
  <w:style w:type="table" w:styleId="47">
    <w:name w:val="Table Grid Light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70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72"/>
    <w:uiPriority w:val="99"/>
    <w:unhideWhenUsed/>
    <w:rPr>
      <w:vertAlign w:val="superscript"/>
    </w:rPr>
  </w:style>
  <w:style w:type="paragraph" w:styleId="176">
    <w:name w:val="endnote text"/>
    <w:basedOn w:val="670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72"/>
    <w:uiPriority w:val="99"/>
    <w:semiHidden/>
    <w:unhideWhenUsed/>
    <w:rPr>
      <w:vertAlign w:val="superscript"/>
    </w:rPr>
  </w:style>
  <w:style w:type="paragraph" w:styleId="179">
    <w:name w:val="toc 1"/>
    <w:basedOn w:val="670"/>
    <w:next w:val="670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70"/>
    <w:next w:val="670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70"/>
    <w:next w:val="670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70"/>
    <w:next w:val="670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70"/>
    <w:next w:val="670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70"/>
    <w:next w:val="670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70"/>
    <w:next w:val="670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70"/>
    <w:next w:val="670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70"/>
    <w:next w:val="670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70"/>
    <w:next w:val="670"/>
    <w:uiPriority w:val="99"/>
    <w:unhideWhenUsed/>
    <w:pPr>
      <w:spacing w:after="0" w:afterAutospacing="0"/>
    </w:pPr>
  </w:style>
  <w:style w:type="paragraph" w:styleId="670" w:default="1">
    <w:name w:val="Normal"/>
    <w:qFormat/>
  </w:style>
  <w:style w:type="paragraph" w:styleId="671">
    <w:name w:val="Heading 2"/>
    <w:basedOn w:val="670"/>
    <w:next w:val="670"/>
    <w:link w:val="682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672" w:default="1">
    <w:name w:val="Default Paragraph Font"/>
    <w:uiPriority w:val="1"/>
    <w:semiHidden/>
    <w:unhideWhenUsed/>
  </w:style>
  <w:style w:type="table" w:styleId="6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4" w:default="1">
    <w:name w:val="No List"/>
    <w:uiPriority w:val="99"/>
    <w:semiHidden/>
    <w:unhideWhenUsed/>
  </w:style>
  <w:style w:type="paragraph" w:styleId="675">
    <w:name w:val="Header"/>
    <w:basedOn w:val="670"/>
    <w:link w:val="67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6" w:customStyle="1">
    <w:name w:val="Верхний колонтитул Знак"/>
    <w:basedOn w:val="672"/>
    <w:link w:val="675"/>
    <w:uiPriority w:val="99"/>
  </w:style>
  <w:style w:type="paragraph" w:styleId="677">
    <w:name w:val="Footer"/>
    <w:basedOn w:val="670"/>
    <w:link w:val="67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78" w:customStyle="1">
    <w:name w:val="Нижний колонтитул Знак"/>
    <w:basedOn w:val="672"/>
    <w:link w:val="677"/>
    <w:uiPriority w:val="99"/>
  </w:style>
  <w:style w:type="paragraph" w:styleId="679">
    <w:name w:val="List Paragraph"/>
    <w:basedOn w:val="670"/>
    <w:uiPriority w:val="34"/>
    <w:qFormat/>
    <w:pPr>
      <w:contextualSpacing/>
      <w:ind w:left="720"/>
    </w:pPr>
  </w:style>
  <w:style w:type="paragraph" w:styleId="680">
    <w:name w:val="Body Text Indent"/>
    <w:basedOn w:val="670"/>
    <w:link w:val="681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81" w:customStyle="1">
    <w:name w:val="Основной текст с отступом Знак"/>
    <w:basedOn w:val="672"/>
    <w:link w:val="680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682" w:customStyle="1">
    <w:name w:val="Заголовок 2 Знак"/>
    <w:basedOn w:val="672"/>
    <w:link w:val="671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683">
    <w:name w:val="Table Grid"/>
    <w:basedOn w:val="673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84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34</cp:revision>
  <dcterms:created xsi:type="dcterms:W3CDTF">2021-05-03T07:25:00Z</dcterms:created>
  <dcterms:modified xsi:type="dcterms:W3CDTF">2022-03-19T12:49:40Z</dcterms:modified>
</cp:coreProperties>
</file>