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</w:r>
      <w:r/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Простые и сложные сигналы в локации. База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сигнала. Функция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неопределенности</w:t>
      </w:r>
      <w: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3600" behindDoc="1" locked="0" layoutInCell="1" allowOverlap="1">
                <wp:simplePos x="0" y="0"/>
                <wp:positionH relativeFrom="column">
                  <wp:posOffset>2438252</wp:posOffset>
                </wp:positionH>
                <wp:positionV relativeFrom="paragraph">
                  <wp:posOffset>129385</wp:posOffset>
                </wp:positionV>
                <wp:extent cx="523535" cy="435971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3848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3534" cy="435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73600;o:allowoverlap:true;o:allowincell:true;mso-position-horizontal-relative:text;margin-left:192.0pt;mso-position-horizontal:absolute;mso-position-vertical-relative:text;margin-top:10.2pt;mso-position-vertical:absolute;width:41.2pt;height:34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простых и сложных сигналов с различными харак</w:t>
      </w:r>
      <w:r>
        <w:rPr>
          <w:sz w:val="28"/>
        </w:rPr>
        <w:t xml:space="preserve">теристиками, применяемых в радиолокации, гидролокации и других отраслях </w:t>
      </w:r>
      <w:r>
        <w:rPr>
          <w:sz w:val="28"/>
        </w:rPr>
        <w:t xml:space="preserve">науки и техники. Практическое изучение способов увеличения разрешающей </w:t>
      </w:r>
      <w:r>
        <w:rPr>
          <w:sz w:val="28"/>
        </w:rPr>
        <w:t xml:space="preserve">способности измерения смещения сигналов по времени и частоте.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плагин pulse waveform analyzer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фкмб - фазо-кода манипулируемый сигнал кода Баркера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нчм - непрерывная частотная модуляция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лчм - линейно частотная модуляция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Имитационное моделирование и графическая визуализация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функции неопределенности простых и сложных сигналов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clear all; % Очистка памяти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close all; % Закрытие всех окон с графиками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fontSize=10; % Размер шрифта графиков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fontType=''; % Тип шрифта графиков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Цвет графиков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tColor='b'; % Временная область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tColorLight=[0.3 0.7 0.9]; % Временная область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Color0='r'; % Эталонные сигналы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fColor=[1 0.4 0]; % Частотная область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eColor=[0.85 0.325 0.098]; % Погрешности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eColorLight=[0.9 0.9 0.4]; % Погрешности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eColorDark=[0.635 0.078 0.184]; % Погрешности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tstep = 0.05; % Шаг по оси времени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fstep = 0.05; % Шаг по оси частоты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dT = 3; % Длительность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N = 1.5;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tmin = -N * dT; % Диапазон значений по времени (мин)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tmax = N * dT; % Диапазон значений по времени (макс)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fmin = round(-4/dT)-1; % Диапазон значений по частоте (мин)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fmax = round(4/dT)+1; % Диапазон значений по частоте (макс)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 = tmin:tstep:tmax; % Значения по оси времени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 = fmin:fstep:fmax; % Значения по оси частоты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значений двумерной автокорреляционной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функции тонального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eps = 0.000001;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i = 0;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for ti = tmin:tstep:tmax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i = i + 1;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j = 0;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for fj = fmin:fstep:fmax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j = j + 1;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val1 = 1 - abs(ti) / dT;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val2 = pi * dT * (1.0 - abs(ti) / dT) * fj;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x(j,i) = abs( val1 * sin(val2+eps)/(val2+eps));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mesh(t,f,x);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R(t,f)'); % Надпись оси аппликат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Двумерная автокорреляционная функция';...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contour(t,f,x,'Linewidth',1);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двумерной автокорреляционной функции';...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Моделирование функции неопределености импульса с линейной частотной модуляцией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 = x.^2;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mesh(t,f,y);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zlabel('Функция неопределенности,\it A(t,f)'); % Надпись оси аппликат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Функция неопределенности 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contour(t,f,y,'Linewidth',1);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функции неопределенности';...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частоте для тонального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xf=x((fmax-fmin)/(2*fstep)+1,:);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plot(t,xf,'Linewidth',3);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частоте';...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R(t=0,f)\rm');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времени для тонального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xt=x(:,(tmax-tmin)/(2*tstep)+1);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plot(f,xt,'Linewidth',3);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времени';'тонального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R(t,f=0)\rm');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двумерной автокорреляционной функции ЛЧМ-импульса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fDelta = 2; % Ширина спектра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mu = (fDelta*fmax)/(2*dT); % Линейный коэффициент девиации частоты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i=0;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for ti = tmin:tstep:tmax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i = i + 1;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j = 0;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for fj = fmin:fstep:fmax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j = j + 1;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val1 = 1. - abs(ti) / dT;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val2 = pi * dT * (1.0 - abs(ti) / dT);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val3 = (fj + mu * ti);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 = val2 * val3;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x(j,i) = abs( val1 * (sin(val+eps)/(val+eps))).^2;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mesh(t,f,x);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R(t,f)'); % Надпись оси аппликат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Двумерная автокорреляционная функция';...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contour(t,f,x,'Linewidth',1);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двумерной автокорреляционной функции';...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Моделирование функции неопределености импульса с линейной частотной модуляцией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 = x.^2;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mesh(t,f,y);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A(t,f)'); % Надпись оси аппликат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Функция неопределенности для ЛЧМ-импульса'});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contour(t,f,y,'Linewidth',1);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функции неопределенности';...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частоте для ЛЧМ-импульса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xf=x((fmax-fmin)/(2*fstep)+1,:);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plot(t,xf,'Linewidth',3);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axis([tmin tmax 0 1]);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R(t=0,f)\rm');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частоте';...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времени для ЛЧМ-импульса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xt=x(:,(tmax-tmin)/(2*tstep)+1);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plot(f,xt,'Linewidth',3);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R(t,f=0)');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времени';...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1-12.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535" cy="230484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606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90534" cy="2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35.5pt;height:181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автокорреляция тонального импульса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6565" cy="275579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097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406564" cy="2755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8.2pt;height:217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– проекция графика автокорреляции</w:t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295" cy="255613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1016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268294" cy="255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7.3pt;height:201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3 – функция неопределенности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тонального импульса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7994" cy="289799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1088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17994" cy="2897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7.0pt;height:228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– проекция графика функции неопределенности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7021" cy="253846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9920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247021" cy="2538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5.7pt;height:199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автокорреляционная функция по частоте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4745" cy="248788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7372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034744" cy="2487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39.0pt;height:195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6 – автокорреляционная функция по времени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4085" cy="267966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153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14085" cy="2679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8.8pt;height:211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7 – автокорреляционная функция для ЛЧМ-импульса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9248" cy="213614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078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559248" cy="213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01.5pt;height:168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8 – проекция графика автокорреляционной функции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0827" cy="246888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83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220827" cy="2468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53.6pt;height:194.4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9 – функция неопределенности для ЛЧМ-импульса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2302" cy="3095254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157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592302" cy="309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82.9pt;height:243.7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10 – проекция функции неопределенности для ЛЧМ-импульса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6121" cy="3043992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7704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666121" cy="304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88.7pt;height:239.7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11 – автокорреляционная функция по частоте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260" cy="2772587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291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457259" cy="2772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72.2pt;height:218.3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12 – автокорреляционная функция по времени</w:t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</w:t>
      </w:r>
      <w:r>
        <w:rPr>
          <w:sz w:val="28"/>
        </w:rPr>
        <w:t xml:space="preserve">приобретены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простых и сложных сигналов с различными харак</w:t>
      </w:r>
      <w:r>
        <w:rPr>
          <w:sz w:val="28"/>
        </w:rPr>
        <w:t xml:space="preserve">теристиками, применяемых в радиолокации, гидролокации и других отраслях </w:t>
      </w:r>
      <w:r>
        <w:rPr>
          <w:sz w:val="28"/>
        </w:rPr>
        <w:t xml:space="preserve">науки и техники. Изучены способы увеличения разрешающей </w:t>
      </w:r>
      <w:r>
        <w:rPr>
          <w:sz w:val="28"/>
        </w:rPr>
        <w:t xml:space="preserve">способности измерения смещения сигналов по времени и частоте.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36</cp:revision>
  <dcterms:created xsi:type="dcterms:W3CDTF">2021-09-11T09:19:00Z</dcterms:created>
  <dcterms:modified xsi:type="dcterms:W3CDTF">2022-05-22T12:25:04Z</dcterms:modified>
</cp:coreProperties>
</file>