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auto" w:fill="auto"/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hd w:val="clear" w:color="auto" w:fill="auto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shd w:val="clear" w:color="auto" w:fill="auto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shd w:val="clear" w:color="auto" w:fill="auto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shd w:val="clear" w:color="auto" w:fill="auto"/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shd w:val="clear" w:color="auto" w:fill="auto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6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Звуковые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сигналы</w:t>
      </w:r>
      <w:r>
        <w:t xml:space="preserve">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6432" behindDoc="1" locked="0" layoutInCell="1" allowOverlap="1">
                <wp:simplePos x="0" y="0"/>
                <wp:positionH relativeFrom="column">
                  <wp:posOffset>2483190</wp:posOffset>
                </wp:positionH>
                <wp:positionV relativeFrom="paragraph">
                  <wp:posOffset>156734</wp:posOffset>
                </wp:positionV>
                <wp:extent cx="493055" cy="410589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5520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3054" cy="410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51666432;o:allowoverlap:true;o:allowincell:true;mso-position-horizontal-relative:text;margin-left:195.5pt;mso-position-horizontal:absolute;mso-position-vertical-relative:text;margin-top:12.3pt;mso-position-vertical:absolute;width:38.8pt;height:32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  <w:shd w:val="clear" w:color="auto" w:fill="auto"/>
            </w:pPr>
            <w:r/>
            <w:r/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</w:tbl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  <w:highlight w:val="none"/>
        </w:rPr>
      </w:pPr>
      <w:r>
        <w:rPr>
          <w:sz w:val="24"/>
        </w:rPr>
        <w:t xml:space="preserve">Москва, 2022</w:t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  <w:br w:type="page" w:clear="all"/>
      </w: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right="-23" w:firstLine="708"/>
        <w:jc w:val="both"/>
        <w:spacing w:before="72" w:after="0" w:line="360" w:lineRule="auto"/>
        <w:shd w:val="clear" w:color="auto" w:fill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clear" w:color="auto" w:fill="auto"/>
      </w:pPr>
      <w:r>
        <w:rPr>
          <w:sz w:val="28"/>
        </w:rPr>
        <w:t xml:space="preserve">Приобретение практических навыков, освоение программных средств ими</w:t>
      </w:r>
      <w:r>
        <w:rPr>
          <w:sz w:val="28"/>
        </w:rPr>
        <w:t xml:space="preserve">тационного моделирования и воспроизведения звуковых сигналов. Практическое </w:t>
      </w:r>
      <w:r>
        <w:rPr>
          <w:sz w:val="28"/>
        </w:rPr>
        <w:t xml:space="preserve">изучение частотно-временных характеристик звуковых сигналов.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pkg load signal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pkg load communications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звуковых сигналов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clear all; % Очистка памяти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close all; % Закрытие всех окон с графиками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clc; % Очистка окна команд и сообщений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fontSize=10; % Размер шрифта графиков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fontType=''; % Тип шрифта графиков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Цвет графиков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tColor=[0,0.447,0.741]; % Временная область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tColorLight=[0.3 0.7 0.9]; % Временная область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Color0=[1 0 0]; % Эталонные сигналы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fColor=[1 0.4 0]; % Частотная область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eColor=[0.85 0.325 0.098]; % Погрешности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eColorLight=[0.9 0.9 0.4]; % Погрешности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eColorDark=[0.635 0.078 0.184]; % Погрешности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fd=1025; % Частота дискретизации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Td=1/fd; % Период дискретизации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snrSound=3; % Уровень шума, дБ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Длительности нот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t01=0:Td:.03-Td; % 0.03 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t05=0:Td:.5-Td; % 0.5 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t07=0:Td:.7-Td; % 0.7 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t09=0:Td:.9-Td; % 0.9 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t10=0:Td:2-Td; % 1.0 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t15=0:Td:1.5-Td; % 1.5 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t30=0:Td:3-Td; % 3.0 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Определение обозначений для нот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Z_t10(1:length(t10))=0; % пауза 1 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Z_t_cust(1:length(t01))=0; % пауза 0.03 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Частоты нот первой октавы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A4=440.000; % частота ноты ЛЯ,Гц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C4=A4*2^ (-9/12); % частота ноты ДО,Гц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D4=A4*2^ (-7/12); % частота ноты РЕ,Гц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D4d=A4*2^ (-6/12); % частота ноты РЕ#,Гц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E4=A4*2^ (-5/12); % частота ноты МИ,Гц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F4=A4*2^ (-4/12); % частота ноты ФА,Гц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G4=A4*2^ (-2/12); % частота ноты СОЛЬ,Гц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A4=A4*2^ ( 0/12); % частота ноты ЛЯ,Гц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B4=A4*2^ ( 2/12); % частота ноты СИ,Гц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 = @(frq,dur) sin(2*pi* dur * frq);%(440*2.^((frq-1)/12)));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нотной последовательности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gamma_notes=[Z_t10,getNote(C4,t10),Z_t10,getNote(D4,t10),Z_t10,...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getNote(E4,t10),Z_t10,getNote(F4,t10),Z_t10,getNote(G4,t10),...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Z_t10,getNote(A4,t10),Z_t10,getNote(B4,t10),Z_t10];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T_gamma=length(gamma_notes); % Длительность музыкального ряда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сигнала нотной последовательности во временной области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xtime=linspace(0,T_gamma/fd,T_gamma); % Область определения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plot(xtime,gamma_notes,'Color',tColor);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saveas(gcf,'figure_0','epsc')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Звуковой ряд первой октавы'});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nT_д\rm,с');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ylabel('Уровень громкости');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yticks([]); % Нет значений на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спектра мощности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[fpNotes,freq]=periodogram(gamma_notes,rectwin(length(gamma_notes)),...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length(gamma_notes),fd,'power');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plot(freq,fpNotes,'Color',fColor);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saveas(gcf,'figure_1','epsc')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Спектр мощности звукового ряда первой октавы'});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xlabel('Частота,\it f\rm,Гц');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ylabel('Мощность');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yticks([]); % Нет значений на оси ординаn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Проигрывание гаммы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sound(gamma_notes,fd); &lt;===================================== MUSIC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% Запись мелодии в WAV-файл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audiowrite('gamma.wav',gamma_notes,fd);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disp('Нажмите любую клавишу для продолжения...');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pause; % Пауза перед следующей мелодией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close all; % Закрытие всех окон с графиками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шума нотной последовательности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ngamma_notes=awgn(gamma_notes,snrSound);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ngamma_notes=ngamma_notes/max(ngamma_notes);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plot(xtime,ngamma_notes,'Color',tColor);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saveas(gcf,'figure_2','epsc')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Зашумленный звуковой ряд'});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nT_д\rm,с');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ylabel('Уровень громкости');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yticks([]); % Нет значений на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спектра мощности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[fpnNotes,freq]=periodogram(ngamma_notes,rectwin(length(ngamma_notes)),...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length(ngamma_notes),fd,'power'); % Формирование значений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plot(freq,fpnNotes,'Color',fColor);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saveas(gcf,'figure_3','epsc')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Спектр мощности зашумленного звукового ряда'});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xlabel('Частота,\it f\rm,Гц'); % Надпись оси абсцисс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ylabel('Мощность'); % Надпись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yticks([]); % Нет значений на оси ординат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спектрограммы звукового ряда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%figure; spectrogram(ngamma_notes,256,0,[],fd);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specgram(ngamma_notes,256,fd);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saveas(gcf,'figure_4','epsc');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title({'\rm Спектрограмма зашумленного звукового ряда'}); % Заголовок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Проигрывание гаммы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sound(ngamma_notes,fd); &lt;===================================== MUSIC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Запись мелодии в WAV-файл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audiowrite('ngamma.wav',ngamma_notes,fd);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disp('Нажмите любую клавишу для продолжения...');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pause; % Пауза перед следующей мелодией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close all;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массива-мелодии "В траве сидел кузнечик"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sw_notes=[getNote(A4,t05), Z_t_cust,getNote(E4,t05), Z_t_cust,getNote(A4,t05), Z_t_cust,getNote(E4,t05), Z_t_cust,...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getNote(A4,t05), Z_t_cust,... % Ля Ми Ля Ми Ля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getNote(G4,t05), Z_t_cust,getNote(G4,t05), Z_t_cust,getNote(G4,t05), Z_t_cust,getNote(A4,t05), Z_t_cust,...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getNote(G4,t05), Z_t_cust,getNote(A4,t05), Z_t_cust,getNote(G4,t05), Z_t_cust,... % Соль х3 - Ми - Соль - Ми - Соль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getNote(A4,t05), Z_t_cust,getNote(A4,t05), Z_t_cust,getNote(A4,t05), Z_t_cust,getNote(E4,t05), Z_t_cust,... % Ля х3 - Ми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getNote(A4,t05), Z_t_cust,getNote(E4,t05), Z_t_cust,getNote(A4,t05), Z_t_cust,... % Ля Ми Ля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getNote(G4,t05), Z_t_cust,getNote(A4,t05), Z_t_cust,getNote(G4,t05), Z_t_cust,... % Соль х3 - Ми - Соль - Ми - Соль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getNote(A4,t05), Z_t_cust,getNote(A4,t05), Z_t_cust,getNote(B4,t05), Z_t_cust,getNote(B4,t05), Z_t_cust,...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getNote(B4,t05), Z_t_cust,getNote(B4,t05), Z_t_cust,... % Ля х2 - Си х4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getNote(C4,t05), Z_t_cust, getNote(C4,t05), Z_t_cust,...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getNote(C4,t05), Z_t_cust, getNote(C4,t05), Z_t_cust,...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getNote(C4,t05), Z_t_cust, getNote(C4,t05), Z_t_cust,... % До х6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getNote(B4,t05), Z_t_cust, getNote(A4,t05), Z_t_cust,...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Z_t_cust,getNote(G4,t05), getNote(A4,t05), Z_t_cust,...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getNote(A4,t05), Z_t_cust, getNote(A4,t05), Z_t_cust,... 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getNote(A4,t05), Z_t_cust,...% Си - Ля - Си х5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getNote(C4,t05), Z_t_cust, getNote(C4,t05), Z_t_cust,...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getNote(C4,t05), Z_t_cust, getNote(C4,t05), Z_t_cust,...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getNote(C4,t05), Z_t_cust, getNote(C4,t05), Z_t_cust,... % До х6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];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figure; specgram(sw_notes,256,fd);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saveas(gcf,'figure_5','epsc');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Проигрывание мелодии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sound(sw_notes,fd); %&lt;===================================== MUSIC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% Запись мелодии в WAV-файл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  <w:t xml:space="preserve">audiowrite('melody.wav',sw_notes,fd);</w:t>
      </w:r>
      <w:r/>
    </w:p>
    <w:p>
      <w:pPr>
        <w:ind w:left="0" w:right="0" w:firstLine="0"/>
        <w:jc w:val="left"/>
        <w:spacing w:line="240" w:lineRule="auto"/>
        <w:shd w:val="clear" w:color="auto" w:fill="auto"/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1-9.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4425" cy="278245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1591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94425" cy="2782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1.5pt;height:219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 – звуковой ряд первой октавы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6490" cy="255855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2032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46489" cy="255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9.9pt;height:201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2  – спектр мощности первой октавы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1336" cy="225738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07098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671335" cy="2257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10.3pt;height:177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3  – зашумленный звуковой ряд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9129" cy="2866687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1641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349129" cy="2866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3.7pt;height:225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4  – спектр мощности зашумленного звукового ряда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0990" cy="282588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100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350989" cy="2825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63.9pt;height:222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5 – спектрограмма зашумленного звукового ряда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clear" w:color="auto" w:fill="auto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 </w:t>
      </w:r>
      <w:r>
        <w:rPr>
          <w:sz w:val="28"/>
        </w:rPr>
        <w:t xml:space="preserve">приобретены практические навыки, освоены программные средства ими</w:t>
      </w:r>
      <w:r>
        <w:rPr>
          <w:sz w:val="28"/>
        </w:rPr>
        <w:t xml:space="preserve">тационного моделирования и воспроизведения звуковых сигналов. </w:t>
      </w:r>
      <w:r>
        <w:rPr>
          <w:sz w:val="28"/>
        </w:rPr>
        <w:t xml:space="preserve">Изучены частотно-временные характеристики звуковых сигналов.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38</cp:revision>
  <dcterms:created xsi:type="dcterms:W3CDTF">2021-09-11T09:19:00Z</dcterms:created>
  <dcterms:modified xsi:type="dcterms:W3CDTF">2022-05-22T12:27:56Z</dcterms:modified>
</cp:coreProperties>
</file>