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2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Доклад</w:t>
      </w:r>
      <w:r/>
    </w:p>
    <w:p>
      <w:pPr>
        <w:pStyle w:val="862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62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ind w:firstLine="0"/>
        <w:spacing w:line="360" w:lineRule="auto"/>
        <w:shd w:val="clear" w:color="auto" w:fill="ffffff"/>
        <w:rPr>
          <w:b w:val="0"/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Экологические проблемы московской области</w:t>
      </w:r>
      <w:r>
        <w:rPr>
          <w:b w:val="0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b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sz w:val="28"/>
          <w:u w:val="single"/>
        </w:rPr>
        <w:t xml:space="preserve">Экология</w:t>
      </w:r>
      <w:r>
        <w:rPr>
          <w:b w:val="0"/>
          <w:u w:val="single"/>
        </w:rPr>
      </w:r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left"/>
        <w:spacing w:line="360" w:lineRule="auto"/>
        <w:rPr>
          <w:b/>
          <w:sz w:val="28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8"/>
          <w:highlight w:val="none"/>
        </w:rPr>
        <w:t xml:space="preserve">Введение</w:t>
      </w:r>
      <w:r>
        <w:rPr>
          <w:b/>
          <w:sz w:val="28"/>
          <w:highlight w:val="none"/>
        </w:rPr>
      </w:r>
    </w:p>
    <w:p>
      <w:pPr>
        <w:jc w:val="both"/>
        <w:spacing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В силу высокой концентрации населения, транспортных потоков и промышленных предприятий в Москве и Московской области, здесь наблюдается повышенный уровень загрязнения. Эта проблема часто неочевидна для стороннего наблюдателя в силу развитости в регионе инфраструктуры и коммунальных служб.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Основные проблемы </w:t>
      </w:r>
      <w:r>
        <w:rPr>
          <w:b w:val="0"/>
          <w:sz w:val="28"/>
          <w:highlight w:val="none"/>
        </w:rPr>
        <w:t xml:space="preserve">региона:</w:t>
      </w:r>
      <w:r/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сточные воды промышленных предприятий;</w:t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выбросы предприятий энергетики (Каширской и Шатурской ГРЭС и др.); </w:t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базы захоронения бытовых и промышленных отходов</w:t>
      </w:r>
      <w:r>
        <w:rPr>
          <w:b w:val="0"/>
          <w:sz w:val="28"/>
          <w:highlight w:val="none"/>
        </w:rPr>
        <w:t xml:space="preserve">;</w:t>
      </w:r>
      <w:r/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военные и особенно аэродромные топливохранилища и топливопроводы;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хранилище ядерных отходов (в Сергиево-Посадском районе);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1417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Значительное влияние на экологическую ситуацию в области оказывают промышленность, транспорт и коммунальное хозяйство Москвы. Москва, получая воду с севера и запада, сбрасывает сточные воды на юг и юго-восток, вниз по течению Москвы-реки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Базы захоронения ТБО</w:t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На территории Московской области размещается большой объём твёрдых бытовых отходов (свыше 8 млн т в год, причём 5 млн т ввозятся из Москвы); среднегодовой прирост объёмов образования отходов достигает 6 %. В области было зарегистрировано 210 полигонов и </w:t>
      </w:r>
      <w:r>
        <w:rPr>
          <w:b w:val="0"/>
          <w:sz w:val="28"/>
          <w:highlight w:val="none"/>
        </w:rPr>
        <w:t xml:space="preserve">свалок, часть из которых не эксплуатируется. 43 из них имели статус официальных, многие полуофициальны, но только два полигона были построены по специально разработанным проектам. В подавляющем большинстве полигоны ТБО возникали стихийно, без учёта природоо</w:t>
      </w:r>
      <w:r>
        <w:rPr>
          <w:b w:val="0"/>
          <w:sz w:val="28"/>
          <w:highlight w:val="none"/>
        </w:rPr>
        <w:t xml:space="preserve">хранных требований, в отработанных карьерах, различных выемках, котлованах.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Кроме этого по состоянию на 2010 год имелось более 1,5 тысяч несанкционированных свалок, подлежащих ликвидации. Доля использованных и обезвреженных отходов в общем объёме отходов невелика (в 2011 году — 25 %). С целью сокращения объёма захороняемых на полигонах отходов в Моск</w:t>
      </w:r>
      <w:r>
        <w:rPr>
          <w:b w:val="0"/>
          <w:sz w:val="28"/>
          <w:highlight w:val="none"/>
        </w:rPr>
        <w:t xml:space="preserve">овской области вводятся современные мусоросортировочные комплексы.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Тимохово </w:t>
      </w:r>
      <w:r>
        <w:rPr>
          <w:b/>
          <w:sz w:val="28"/>
          <w:highlight w:val="none"/>
        </w:rPr>
        <w:t xml:space="preserve">(полигон ТБО)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Полигон «Тимохово» находится вблизи одноимённой деревни в Богородском г. о. МО. Его площадь — 114 га. Объект был открыт в 1977 году и особенно разросся в девяностые годы, когда вывоз твёрдых бытовых отходов с</w:t>
      </w:r>
      <w:r>
        <w:rPr>
          <w:b w:val="0"/>
          <w:sz w:val="28"/>
          <w:highlight w:val="none"/>
        </w:rPr>
        <w:t xml:space="preserve">тал доходным делом. В связи с закрытием Кучинского полигона в 2017 нагрузка на полигон «Тимохово» закономерным образом резко увеличилась.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Здесь скопилось почти 20 млн тонн отходов. Это в 2,5 раза больше, чем всё население Москвы и МО производит за год. Главная проблема местных жителей — свалочный газ.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</w:pPr>
      <w:r>
        <w:rPr>
          <w:b w:val="0"/>
          <w:sz w:val="28"/>
          <w:highlight w:val="none"/>
        </w:rPr>
        <w:t xml:space="preserve">Рекультивация началась с 18 ноября 2019 года и должна была завершиться 30 апреля 2020 года. Чтобы утвердить график, была принята дорожная карта. Она содержала пять этапов: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скважин на закрытой части полигона;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станций на эксплуатируемой части полигона;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монтаж газотранспортных трубопроводов на закрытой части полигона;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монтаж газотранспортных трубопроводов на эксплуатируемой части полигона;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станций.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На данный момент на полигоне работают четыре факельные установки для сжигания свалочного газа. Суммарно они утилизируют 9 тыс. кубометров газа в час. Тем самым устраняется до 90% свалочного газа (заметим: не 100%). Всего с ноября 2019 года пробурено 60 новы</w:t>
      </w:r>
      <w:r>
        <w:rPr>
          <w:b w:val="0"/>
          <w:sz w:val="28"/>
          <w:highlight w:val="none"/>
        </w:rPr>
        <w:t xml:space="preserve">х скважин, из которых газ и поступает к факелам.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В 2019 году на полигоне заработал комплекс контроля состояния воздуха. Как заявлялось, круглые сутки производится контроль за концентрацией вредных веществ в воздухе. Эти данные передавались на сайт, доступный для любого желающего. Таким образом, работа сис</w:t>
      </w:r>
      <w:r>
        <w:rPr>
          <w:b w:val="0"/>
          <w:sz w:val="28"/>
          <w:highlight w:val="none"/>
        </w:rPr>
        <w:t xml:space="preserve">темы должна была стать прозрачной для общественников. Однако на момент написания данного материала обозначенный сайт не работает. Ранее местные программисты вскрыли обман: код веб-страницы показал, что вместо реальных значений с датчиков используется генера</w:t>
      </w:r>
      <w:r>
        <w:rPr>
          <w:b w:val="0"/>
          <w:sz w:val="28"/>
          <w:highlight w:val="none"/>
        </w:rPr>
        <w:t xml:space="preserve">тор случайных чисел. История получила огласку в федеральных СМИ. Руководство полигона отреагировало на разоблачение тем, что подчистило код сайта. Тем не менее, несоответствия на сайте сохранялись. В частности, разные приборы имели одинаковый серийный номер</w:t>
      </w:r>
      <w:r>
        <w:rPr>
          <w:b w:val="0"/>
          <w:sz w:val="28"/>
          <w:highlight w:val="none"/>
        </w:rPr>
        <w:t xml:space="preserve">, а данные мониторинга не коррелировали с направлением ветра. Ни внутренние проверки, ни судебные разбирательства в отношении ответственных лиц не велись.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Кучино (полигон ТБО)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singl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Полигон «Кучино» появился в 1964 году на месте отработанного глиняного карьера. К моменту закрытия (к 2017 году) его высота достигала 80 м (местами). В год полигон принимал до 600 тыс. т отходов из Москвы и разных район</w:t>
      </w:r>
      <w:r>
        <w:rPr>
          <w:b w:val="0"/>
          <w:sz w:val="28"/>
          <w:highlight w:val="none"/>
        </w:rPr>
        <w:t xml:space="preserve">ов Подмосковья. Общая площадь свалки составляла 54 га, однако она расползлась и на прилегающие территории. Так, во время экологических рейдов фиксировались стихийные свалки с северо-восточной части полигона, </w:t>
      </w:r>
      <w:r>
        <w:rPr>
          <w:b w:val="0"/>
          <w:sz w:val="28"/>
          <w:highlight w:val="none"/>
          <w:u w:val="single"/>
        </w:rPr>
        <w:t xml:space="preserve">частично мусор сбрасывался в пойму реки Пехорка.</w:t>
      </w:r>
      <w:r>
        <w:rPr>
          <w:b w:val="0"/>
          <w:sz w:val="28"/>
          <w:highlight w:val="none"/>
          <w:u w:val="single"/>
        </w:rPr>
      </w:r>
      <w:r>
        <w:rPr>
          <w:b w:val="0"/>
          <w:sz w:val="28"/>
          <w:highlight w:val="none"/>
          <w:u w:val="singl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  <w:t xml:space="preserve">В 2017 в ходе «Прямой линии» к президенту России обратились жители Балашихи с жалобой на невыносимые условия жизни рядом с полигоном "Кучино".</w:t>
      </w:r>
      <w:r>
        <w:rPr>
          <w:b w:val="0"/>
          <w:sz w:val="28"/>
          <w:highlight w:val="none"/>
          <w:u w:val="none"/>
        </w:rPr>
        <w:t xml:space="preserve"> </w:t>
      </w:r>
      <w:r>
        <w:rPr>
          <w:b w:val="0"/>
          <w:sz w:val="28"/>
          <w:highlight w:val="none"/>
          <w:u w:val="none"/>
        </w:rPr>
        <w:t xml:space="preserve">Президент России Владимир Путин обратил внимание на то, что многоквартирные дома на ул. Речной построены в опасной близости со свалкой. </w:t>
      </w:r>
      <w:r>
        <w:rPr>
          <w:b w:val="0"/>
          <w:sz w:val="28"/>
          <w:highlight w:val="none"/>
          <w:u w:val="none"/>
        </w:rPr>
        <w:t xml:space="preserve">Через час после прямой линии на полигон прибыл губернатор Московской области Андрей Воробьев, который сообщил журналистам, что полигон "Кучино" будет закрыт в 2019 году. Однако активисты, боровшиеся со свалкой и участвовавшие в прямой линии, были категориче</w:t>
      </w:r>
      <w:r>
        <w:rPr>
          <w:b w:val="0"/>
          <w:sz w:val="28"/>
          <w:highlight w:val="none"/>
          <w:u w:val="none"/>
        </w:rPr>
        <w:t xml:space="preserve">ски не согласны с таким промедлением.</w:t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Официально полигон закрыт решением Комиссии по предупреждению и ликвидации ЧС и ОПБ городского округа Балашиха от 22.06.2017 г. Подпись под решением поставил руководитель комиссии - действующий глава Балашихи Евгений Жирков. Это было его последнее решение к</w:t>
      </w:r>
      <w:r>
        <w:rPr>
          <w:b w:val="0"/>
          <w:sz w:val="28"/>
          <w:highlight w:val="none"/>
          <w:u w:val="none"/>
        </w:rPr>
        <w:t xml:space="preserve">ак главы города.</w:t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Поскольку именно Евгений Жирков еще как глава Железнодорожного выдал строительной компании "Мортон" разрешение на строительство жилых комплексов "Южное Кучино" и "Южное Кучино - 2", расположенных на ул. Речная в</w:t>
      </w:r>
      <w:r>
        <w:rPr>
          <w:b w:val="0"/>
          <w:sz w:val="28"/>
          <w:highlight w:val="none"/>
          <w:u w:val="none"/>
        </w:rPr>
        <w:t xml:space="preserve">лизи полигона, то после решительной критики со стороны президента данного решения, глава Балашихи добровольно ушел в отставку.</w:t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sz w:val="28"/>
          <w:highlight w:val="none"/>
          <w:u w:val="none"/>
        </w:rPr>
        <w:t xml:space="preserve">По публикуемой в СМИ информации, с закрытием Кучинского полигона была разрушена давно действующая схема по отмыву полученных преступным путем доходов от криминального бизнеса.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sz w:val="28"/>
          <w:highlight w:val="none"/>
          <w:u w:val="none"/>
        </w:rPr>
        <w:t xml:space="preserve">С</w:t>
      </w:r>
      <w:r>
        <w:rPr>
          <w:b w:val="0"/>
          <w:sz w:val="28"/>
          <w:highlight w:val="none"/>
          <w:u w:val="none"/>
        </w:rPr>
        <w:t xml:space="preserve">валкой управляла компания «Заготовитель», принадлежащая в основном офшору «Карстат Юниверсал Лтд» (96,77 %), зарегистрированному на Сейшельских островах. В разные годы «Заготовитель» менял структуру и владельцев. По данным открытых источников, за всеми </w:t>
      </w:r>
      <w:r>
        <w:rPr>
          <w:b w:val="0"/>
          <w:sz w:val="28"/>
          <w:highlight w:val="none"/>
          <w:u w:val="none"/>
        </w:rPr>
        <w:t xml:space="preserve">о</w:t>
      </w:r>
      <w:r>
        <w:rPr>
          <w:b w:val="0"/>
          <w:sz w:val="28"/>
          <w:highlight w:val="none"/>
          <w:u w:val="none"/>
        </w:rPr>
        <w:t xml:space="preserve">фшорами стоит Александр Соломатин, тесно связанный с Валерием Смирновым (Ясным) и Балашихинской ОПГ. Закрытие полигона позволило пресечь действие множества схем по легализации доходов, полученных криминальным путем. Одновременно получил оценку экологически</w:t>
      </w:r>
      <w:r>
        <w:rPr>
          <w:b w:val="0"/>
          <w:sz w:val="28"/>
          <w:highlight w:val="none"/>
          <w:u w:val="none"/>
        </w:rPr>
        <w:t xml:space="preserve">й ущерб.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Д</w:t>
      </w:r>
      <w:r>
        <w:rPr>
          <w:b w:val="0"/>
          <w:sz w:val="28"/>
          <w:highlight w:val="none"/>
          <w:u w:val="none"/>
        </w:rPr>
        <w:t xml:space="preserve">оказанный объем экологического ущерба от нарушений при эксплуатации свалки ЗАО «Заготовитель»: 2,2 млрд. рублей по данным СКР (по другим данным, 6,2 млрд рублей). Эксплуатация свалки вплоть до закрытия велась с вопиющими нарушениями (ежедневно сотни и тыся</w:t>
      </w:r>
      <w:r>
        <w:rPr>
          <w:b w:val="0"/>
          <w:sz w:val="28"/>
          <w:highlight w:val="none"/>
          <w:u w:val="none"/>
        </w:rPr>
        <w:t xml:space="preserve">ч</w:t>
      </w:r>
      <w:r>
        <w:rPr>
          <w:b w:val="0"/>
          <w:sz w:val="28"/>
          <w:highlight w:val="none"/>
          <w:u w:val="none"/>
        </w:rPr>
        <w:t xml:space="preserve">и кубов фильтрата попадали в Пехорку, полноценной пересыпки и формирования откосов не было, полигон был перегружен, весовой контроль отсутствовал, свалочный газ в огромном количестве отравлял воздух, мусор расползался далеко за пределы свалки и т.д.). По д</w:t>
      </w:r>
      <w:r>
        <w:rPr>
          <w:b w:val="0"/>
          <w:sz w:val="28"/>
          <w:highlight w:val="none"/>
          <w:u w:val="none"/>
        </w:rPr>
        <w:t xml:space="preserve">анному факту было возбуждено уголовное дело, фигурантами которого стали два рядовых сотрудника ЗАО "Заготовитель", которое так и не получило ходу.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/>
          <w:sz w:val="28"/>
          <w:highlight w:val="none"/>
          <w:u w:val="none"/>
        </w:rPr>
        <w:t xml:space="preserve">Пути решения проблемы</w:t>
      </w:r>
      <w:r>
        <w:rPr>
          <w:b/>
          <w:sz w:val="28"/>
          <w:highlight w:val="none"/>
          <w:u w:val="none"/>
        </w:rPr>
      </w:r>
    </w:p>
    <w:p>
      <w:pPr>
        <w:pStyle w:val="698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cортировка ТБО для более эффективной утилизации/переработки;</w:t>
      </w:r>
      <w:r>
        <w:rPr>
          <w:b/>
          <w:sz w:val="28"/>
          <w:highlight w:val="none"/>
          <w:u w:val="none"/>
        </w:rPr>
      </w:r>
    </w:p>
    <w:p>
      <w:pPr>
        <w:pStyle w:val="698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сжигание (с предварительной сортировкой и контролем температуры); </w:t>
      </w:r>
      <w:r>
        <w:rPr>
          <w:b w:val="0"/>
          <w:sz w:val="28"/>
          <w:highlight w:val="none"/>
          <w:u w:val="none"/>
        </w:rPr>
      </w:r>
      <w:r>
        <w:rPr>
          <w:b/>
          <w:sz w:val="28"/>
          <w:highlight w:val="none"/>
          <w:u w:val="none"/>
        </w:rPr>
      </w:r>
      <w:r>
        <w:rPr>
          <w:b/>
          <w:sz w:val="28"/>
          <w:highlight w:val="none"/>
          <w:u w:val="none"/>
        </w:rPr>
      </w:r>
      <w:r>
        <w:rPr>
          <w:b/>
          <w:sz w:val="28"/>
          <w:highlight w:val="none"/>
          <w:u w:val="none"/>
        </w:rPr>
      </w:r>
    </w:p>
    <w:p>
      <w:pPr>
        <w:pStyle w:val="698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сжигание свалочного газа;</w:t>
      </w:r>
      <w:r>
        <w:rPr>
          <w:b w:val="0"/>
          <w:sz w:val="28"/>
          <w:highlight w:val="none"/>
          <w:u w:val="none"/>
        </w:rPr>
      </w:r>
    </w:p>
    <w:p>
      <w:pPr>
        <w:pStyle w:val="698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проектирование высокотехнологичных полигонов вместо стихийных свалок;</w:t>
      </w:r>
      <w:r>
        <w:rPr>
          <w:b w:val="0"/>
          <w:sz w:val="28"/>
          <w:highlight w:val="none"/>
          <w:u w:val="none"/>
        </w:rPr>
      </w:r>
    </w:p>
    <w:p>
      <w:pPr>
        <w:pStyle w:val="698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Рекультивация полигонов ТБО;</w:t>
      </w:r>
      <w:r>
        <w:rPr>
          <w:b w:val="0"/>
          <w:sz w:val="28"/>
          <w:highlight w:val="none"/>
          <w:u w:val="none"/>
        </w:rPr>
      </w:r>
    </w:p>
    <w:p>
      <w:pPr>
        <w:pStyle w:val="698"/>
        <w:numPr>
          <w:ilvl w:val="0"/>
          <w:numId w:val="8"/>
        </w:numPr>
        <w:jc w:val="both"/>
        <w:spacing w:line="360" w:lineRule="auto"/>
        <w:rPr>
          <w:b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повышение эффективности надзорных органов.</w:t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8"/>
    <w:next w:val="858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1">
    <w:name w:val="Heading 1 Char"/>
    <w:basedOn w:val="859"/>
    <w:link w:val="680"/>
    <w:uiPriority w:val="9"/>
    <w:rPr>
      <w:rFonts w:ascii="Arial" w:hAnsi="Arial" w:cs="Arial" w:eastAsia="Arial"/>
      <w:sz w:val="40"/>
      <w:szCs w:val="40"/>
    </w:rPr>
  </w:style>
  <w:style w:type="paragraph" w:styleId="682">
    <w:name w:val="Heading 2"/>
    <w:basedOn w:val="858"/>
    <w:next w:val="858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3">
    <w:name w:val="Heading 2 Char"/>
    <w:basedOn w:val="859"/>
    <w:link w:val="682"/>
    <w:uiPriority w:val="9"/>
    <w:rPr>
      <w:rFonts w:ascii="Arial" w:hAnsi="Arial" w:cs="Arial" w:eastAsia="Arial"/>
      <w:sz w:val="34"/>
    </w:rPr>
  </w:style>
  <w:style w:type="paragraph" w:styleId="684">
    <w:name w:val="Heading 3"/>
    <w:basedOn w:val="858"/>
    <w:next w:val="858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5">
    <w:name w:val="Heading 3 Char"/>
    <w:basedOn w:val="859"/>
    <w:link w:val="684"/>
    <w:uiPriority w:val="9"/>
    <w:rPr>
      <w:rFonts w:ascii="Arial" w:hAnsi="Arial" w:cs="Arial" w:eastAsia="Arial"/>
      <w:sz w:val="30"/>
      <w:szCs w:val="30"/>
    </w:rPr>
  </w:style>
  <w:style w:type="paragraph" w:styleId="686">
    <w:name w:val="Heading 4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7">
    <w:name w:val="Heading 4 Char"/>
    <w:basedOn w:val="859"/>
    <w:link w:val="686"/>
    <w:uiPriority w:val="9"/>
    <w:rPr>
      <w:rFonts w:ascii="Arial" w:hAnsi="Arial" w:cs="Arial" w:eastAsia="Arial"/>
      <w:b/>
      <w:bCs/>
      <w:sz w:val="26"/>
      <w:szCs w:val="26"/>
    </w:rPr>
  </w:style>
  <w:style w:type="paragraph" w:styleId="688">
    <w:name w:val="Heading 5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9">
    <w:name w:val="Heading 5 Char"/>
    <w:basedOn w:val="859"/>
    <w:link w:val="688"/>
    <w:uiPriority w:val="9"/>
    <w:rPr>
      <w:rFonts w:ascii="Arial" w:hAnsi="Arial" w:cs="Arial" w:eastAsia="Arial"/>
      <w:b/>
      <w:bCs/>
      <w:sz w:val="24"/>
      <w:szCs w:val="24"/>
    </w:rPr>
  </w:style>
  <w:style w:type="paragraph" w:styleId="690">
    <w:name w:val="Heading 6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1">
    <w:name w:val="Heading 6 Char"/>
    <w:basedOn w:val="859"/>
    <w:link w:val="690"/>
    <w:uiPriority w:val="9"/>
    <w:rPr>
      <w:rFonts w:ascii="Arial" w:hAnsi="Arial" w:cs="Arial" w:eastAsia="Arial"/>
      <w:b/>
      <w:bCs/>
      <w:sz w:val="22"/>
      <w:szCs w:val="22"/>
    </w:rPr>
  </w:style>
  <w:style w:type="paragraph" w:styleId="692">
    <w:name w:val="Heading 7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3">
    <w:name w:val="Heading 7 Char"/>
    <w:basedOn w:val="859"/>
    <w:link w:val="6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4">
    <w:name w:val="Heading 8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5">
    <w:name w:val="Heading 8 Char"/>
    <w:basedOn w:val="859"/>
    <w:link w:val="694"/>
    <w:uiPriority w:val="9"/>
    <w:rPr>
      <w:rFonts w:ascii="Arial" w:hAnsi="Arial" w:cs="Arial" w:eastAsia="Arial"/>
      <w:i/>
      <w:iCs/>
      <w:sz w:val="22"/>
      <w:szCs w:val="22"/>
    </w:rPr>
  </w:style>
  <w:style w:type="paragraph" w:styleId="696">
    <w:name w:val="Heading 9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7">
    <w:name w:val="Heading 9 Char"/>
    <w:basedOn w:val="859"/>
    <w:link w:val="696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List Paragraph"/>
    <w:basedOn w:val="858"/>
    <w:uiPriority w:val="34"/>
    <w:qFormat/>
    <w:pPr>
      <w:contextualSpacing/>
      <w:ind w:left="720"/>
    </w:p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basedOn w:val="859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basedOn w:val="859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basedOn w:val="859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basedOn w:val="859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6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4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8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59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59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paragraph" w:styleId="862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2022-09-26T17:01:07Z</dcterms:modified>
</cp:coreProperties>
</file>