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70" y="0"/>
                      <wp:lineTo x="-1270" y="20594"/>
                      <wp:lineTo x="21825" y="20594"/>
                      <wp:lineTo x="21825" y="0"/>
                      <wp:lineTo x="-127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/>
            </w:pPr>
            <w:r>
              <w:rPr>
                <w:b/>
                <w:sz w:val="28"/>
              </w:rPr>
              <w:t>по</w:t>
            </w:r>
            <w:r>
              <w:rPr>
                <w:b/>
                <w:sz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b/>
                <w:color w:val="auto"/>
                <w:kern w:val="0"/>
                <w:sz w:val="28"/>
                <w:szCs w:val="20"/>
                <w:highlight w:val="white"/>
                <w:lang w:val="en-US" w:eastAsia="ru-RU" w:bidi="ar-SA"/>
              </w:rPr>
              <w:t>д</w:t>
            </w:r>
            <w:r>
              <w:rPr>
                <w:rFonts w:eastAsia="Times New Roman" w:cs="Times New Roman"/>
                <w:b/>
                <w:color w:val="auto"/>
                <w:kern w:val="0"/>
                <w:sz w:val="28"/>
                <w:szCs w:val="20"/>
                <w:highlight w:val="white"/>
                <w:lang w:val="ru-RU" w:eastAsia="ru-RU" w:bidi="ar-SA"/>
              </w:rPr>
              <w:t>омашнему заданию</w:t>
            </w:r>
            <w:commentRangeStart w:id="1"/>
            <w:r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05pt;height:23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/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Программирование на Object Pascal с использованием классов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7"/>
        <w:gridCol w:w="2218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 1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Разработать иерархию классов. Поместить определение классов в отдельном модуле.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Класс, позволяющий рисовать окружность некоторого размера с центром в точке, определенной нажатием левой клавиши мыши. 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Класс, позволяющий рисовать квадрат того же размера с центром в точке, определенной нажатием правой клавиши мыши.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Размер и цвет фигур задавать с использованием интерфейсных элементов.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 отчете показать иерархии используемых классов VCL и разработанных классов, граф состояния пользовательского интерфейса и объектную декомпозицию.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(</w:t>
      </w: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en-US" w:eastAsia="ru-RU" w:bidi="ar-SA"/>
        </w:rPr>
        <w:t>Unit1.pas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unit Unit1;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{$mode objfpc}{$H+}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interface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uses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Classes, SysUtils, Forms, Controls, Graphics, Dialogs, ExtCtrls, StdCtrls,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ComCtrls, ColorBox, Unit2;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type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 TForm1 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TForm1 = class(TForm)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ColorBox1: TColorBox;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ComboBox1: TComboBox;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Edit1: TEdit;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Label1: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PaintBox1: TPaintBox;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UpDown1: TUpDown;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Button1Click(Sender: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PaintBox1Click(Sender: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PaintBox1MouseDown(Sender: TObject; Button: TMouseButton;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Shift: TShiftState; X, Y: integer);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Form1: TForm1;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implementation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sq: TSquare;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circle: TCircle;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{$R *.lfm}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 TForm1 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TForm1.Button1Click(Sender: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TForm1.PaintBox1Click(Sender: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TForm1.PaintBox1MouseDown(Sender: TObject; Button: TMouseButton;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Shift: TShiftState; X, Y: integer);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ss, code: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val(Edit1.Text, ss,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PaintBox1.Canvas.Brush.Color := ColorBox1.Color;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ComboBox1.ItemIndex = 1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sq.Init(X, Y, ss, PaintBox1);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sq.Draw(ColorBox1.Selected);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ComboBox1.ItemIndex = 0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circle.Init(X, Y, ss, PaintBox1);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circle.Draw(ColorBox1.Selected);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end.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i w:val="false"/>
          <w:i w:val="false"/>
          <w:iCs w:val="false"/>
          <w:lang w:val="en-US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(Unit2.pas)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unit Unit2;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{$mode objfpc}{$H+}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interface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uses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Classes, SysUtils, Forms, Controls, Graphics,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Dialogs, ExtCtrls, StdCtrls,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ComCtrls, ColorBox;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type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TFigure = object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x, y: integer;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connect: TPaintBox;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Init(a, b: integer; assoc: TPaintBox);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TSquare = object(TFigure)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size: integer;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Init(a, b, s: integer; assoc: TPaintBox);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Draw(clr: TColor);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TCircle = object(TFigure)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size: integer;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Init(a, b, s: integer; assoc: TPaintBox);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Draw(clr: TColor);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implementation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TFigure.Init(a, b: integer; assoc: TPaintBox);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Self.x := a;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Self.y := b;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Self.connect := assoc;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TSquare.Init(a, b, s: integer; assoc: TPaintBox);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inherited Init(a, b, assoc);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Self.size := s;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TSquare.Draw(clr: TColor);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Self.connect.canvas.brush.color := clr;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Self.connect.canvas.rectangle(x, y, x + size, y + size);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TCircle.Init(a, b, s: integer; assoc: TPaintBox);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inherited Init(a, b, assoc);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Self.size := s;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TCircle.Draw(clr: TColor);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Self.connect.canvas.brush.color := clr;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Self.connect.canvas.ellipse(x, y, x + size, y + size);</w:t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>
          <w:lang w:val="ru-RU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Скриншоты  графического интерфейса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4081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Диаграмма классов визуальных компонентов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(</w:t>
      </w:r>
      <w:r>
        <w:rPr>
          <w:rFonts w:eastAsia="Times New Roman" w:cs="Times New Roman" w:ascii="Calibri" w:hAnsi="Calibri"/>
          <w:b w:val="false"/>
          <w:bCs w:val="false"/>
          <w:color w:val="000000"/>
          <w:kern w:val="0"/>
          <w:sz w:val="28"/>
          <w:szCs w:val="28"/>
          <w:lang w:val="en-US" w:eastAsia="ru-RU" w:bidi="ar-SA"/>
        </w:rPr>
        <w:t>Unit1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661035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jc w:val="center"/>
        <w:rPr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Диаграмма классов невизуальных  компонентов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Unit2.pas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5717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Диаграмма состояний  интерфейса</w:t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24860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Объектная декомпозиция</w:t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631055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 xml:space="preserve">Задание </w:t>
      </w: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 xml:space="preserve">Разработать программу, содержащую описание трех графических объектов: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круг с вырезанной четвертью, эллипс, квадрат.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Реализуя механизм полиморфизма, привести объекты в одновременное вращение вокруг их геометрических центров с различными угловыми скоростями.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В отчете привести диаграмму используемых классов VCL и разработанных классов, граф состояний пользовательского интерфейса и объектную декомпозицию.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Unit1.pas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unit Unit1;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{$mode objfpc}{$H+}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interface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uses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Classes, SysUtils, Forms, Controls, Graphics, Dialogs, ExtCtrls, StdCtrls, Unit2;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type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 TForm1 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TForm1 = class(TForm)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Button1: TButton;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PaintBox1: TPaintBox;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PaintBox2: TPaintBox;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PaintBox3: TPaintBox;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Timer1: TTimer;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Button1Click(Sender: TObject);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Timer1Timer(Sender: TObject);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private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public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Form1: TForm1;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implementation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circle: TCircle;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square: TSquare;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ellipse: TEllipse;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arg1, arg2, arg3: real;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{$R *.lfm}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 TForm1 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TForm1.Button1Click(Sender: TObject);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arg1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arg2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arg3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Circle.Init(PaintBox1);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Square.Init(PaintBox2);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ellipse.Init(PaintBox3);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Timer1.Enabled := not (Timer1.Enabled);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//test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 arg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while True do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sleep(200);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if CheckBox1.Checked then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if arg &gt; (PI * 2) then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 := arg + 0.01;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Circle.Init(PaintBox1);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Circle.Draw(arg);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                     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TForm1.Timer1Timer(Sender: TObject);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if arg1 &gt; (PI * 2) then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arg1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arg1 := arg1 + 0.1;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if arg2 &gt; (PI * 2) then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arg2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arg2 := arg2 + 0.2;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if arg3 &gt; (PI * 2) then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arg3 := 0;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arg3 := arg3 + 0.3;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Circle.Draw(arg1);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Square.Draw(arg2);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Ellipse.Draw(arg3);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end.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Unit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2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.pas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unit Unit2;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{$mode objfpc}{$H+}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interface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uses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Classes, SysUtils, Forms, Controls, Graphics, Dialogs, ExtCtrls, StdCtrls;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type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TFigure = object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private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canv: TPaintBox;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public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Init(inp: TPaintBox);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TCircle = object(TFigure)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TSquare = object(TFigure)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TEllipse = object(TFigure)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implementation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TFigure.Init(inp: TPaintBox);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 := inp;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TFigure.Draw(t: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 abstract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TCircle.Draw(t: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x1, y1, x2, y2: integer;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x1 := 125 - trunc(125 * cos(t));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y1 := 125 - trunc(125 * sin(t));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x2 := 125 - trunc(125 * cos(t +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y2 := 125 - trunc(125 * sin(t +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Self.canv.canvas.Clear;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Self.canv.canvas.pie(25, 25, 225, 225, x1, y1, x2,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TSquare.Draw(t: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x1, y1, x2, y2, x3, y3, x4, y4: integer;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x1 := 125 - trunc(90 * cos(t));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y1 := 125 - trunc(90 * sin(t));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x2 := 125 - trunc(90 * cos(t +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y2 := 125 - trunc(90 * sin(t +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x3 := 125 - trunc(90 * cos(t + PI));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y3 := 125 - trunc(90 * sin(t + PI));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x4 := 125 - trunc(90 * cos(t + 3 *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y4 := 125 - trunc(90 * sin(t + 3 *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Self.canv.canvas.Clear;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Self.canv.canvas.line(x1, y1, x2,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Self.canv.canvas.line(x2, y2, x3, y3);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Self.canv.canvas.line(x3, y3, x4, y4);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Self.canv.canvas.line(x4, y4, x1, y1);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{Self.canv.canvas.line(125 - x1, 125 - y1, x2,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Self.canv.canvas.line(x1, y1, 125 - x2, 125 -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Self.canv.canvas.line(125 - x1, 125 - y1, 125 - x2, 125 - y2);         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procedure TEllipse.Draw(t: real);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x1, y1, x2, y2, x3, y3, x4, y4, xc1, yc1, xc2, yc2: integer;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x1 := 125 - trunc(60 * cos(t));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y1 := 125 - trunc(60 * sin(t));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x2 := 125 - trunc(60 * cos(t +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y2 := 125 - trunc(60 * sin(t +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x3 := 125 - trunc(60 * cos(t + PI));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y3 := 125 - trunc(60 * sin(t + PI));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x4 := 125 - trunc(60 * cos(t + 3 *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y4 := 125 - trunc(60 * sin(t + 3 * PI / 2));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xc1 := trunc((x2 + x3) / 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yc1 := trunc((y2 + y3) / 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xc2 := trunc((x4 + x1) / 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yc2 := trunc((y4 + y1) / 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Self.canv.canvas.Clear;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//Self.canv.canvas.line(xc1, yc1, xc2, yc2);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Self.canv.canvas.line(x1, y1, x2,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//Self.canv.canvas.line(x2, y2, x3, y3);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Self.canv.canvas.line(x3, y3, x4, y4);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//Self.canv.canvas.line(x4, y4, x1, y1);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Self.canv.canvas.arc(xc1 - 40, yc1 - 40, xc1 + 40, yc1 + 40, x3, y3, x2,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Self.canv.canvas.arc(xc2 - 40, yc2 - 40, xc2 + 40, yc2 + 40, x1, y1, x4, y4);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{Self.canv.canvas.line(125 - x1, 125 - y1, x2,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Self.canv.canvas.line(x1, y1, 125 - x2, 125 - y2);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Self.canv.canvas.line(125 - x1, 125 - y1, 125 - x2, 125 - y2);         }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end.</w:t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widowControl/>
        <w:bidi w:val="0"/>
        <w:spacing w:before="0" w:after="0"/>
        <w:ind w:left="1417" w:right="0" w:hanging="0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Скриншоты</w:t>
      </w:r>
    </w:p>
    <w:p>
      <w:pPr>
        <w:pStyle w:val="Normal"/>
        <w:widowControl/>
        <w:bidi w:val="0"/>
        <w:spacing w:before="0" w:after="0"/>
        <w:ind w:left="1417" w:right="0" w:hanging="0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9397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Диаграмма классов визуальных компонентов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(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>Unit1.pas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)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5657850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Диаграмма классов невизуальных компонентов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Unit2.pas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524250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иаграмма состояний интерфейса</w:t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267652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Объектная  декомпозиция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5143500"/>
            <wp:effectExtent l="0" t="0" r="0" b="0"/>
            <wp:wrapTopAndBottom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Delphi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и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VCL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предоставляют большое количество классов для работы с визуальной частью программы, создания графических редакторов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Чтобы реализовать несколько схожих по своей природе классов(здесь — различных фигур) при достаточном количестве различий между ними(здесь - форма) целесообразно использовать абстрактный класс(здесь - фигура), от которого затем будут полиморфно наследоваться другие классы(здесь — квадрат и круг, эллипс) 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13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LibreOffice/6.3.4.2$Windows_x86 LibreOffice_project/60da17e045e08f1793c57c00ba83cdfce946d0aa</Application>
  <Pages>21</Pages>
  <Words>1215</Words>
  <Characters>7585</Characters>
  <CharactersWithSpaces>9004</CharactersWithSpaces>
  <Paragraphs>334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2020-02-16T20:15:46Z</dcterms:modified>
  <cp:revision>18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