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34" y="0"/>
                      <wp:lineTo x="-1034" y="20836"/>
                      <wp:lineTo x="21847" y="20836"/>
                      <wp:lineTo x="21847" y="0"/>
                      <wp:lineTo x="-10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commentRangeStart w:id="1"/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3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835" cy="297180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2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5.95pt;height:23.3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0"/>
        <w:jc w:val="both"/>
        <w:outlineLvl w:val="0"/>
        <w:rPr/>
      </w:pP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Основные операторы передачи управления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59"/>
        <w:gridCol w:w="2216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5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6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5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9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6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Составить программу, которая ищет все  числа в интервале от 0 до 500, квадраты которых кратны 5. Вывести на экран найденные числа и их квадраты.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color w:val="000000"/>
          <w:sz w:val="28"/>
          <w:szCs w:val="28"/>
          <w:lang w:val="en-US"/>
        </w:rPr>
        <w:t>Source.cpp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&lt;stdio.h&gt;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i;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for (i = 1; i &lt;= 500; i++)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 ((i * i) % 5 == 0)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printf_s("current int: %d \n", i);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Тесты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(пусто)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5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10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15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...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490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495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500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5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10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15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...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490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495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current int: 500</w:t>
            </w:r>
          </w:p>
        </w:tc>
      </w:tr>
    </w:tbl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Схем</w:t>
      </w: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color w:val="000000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(</w:t>
      </w: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  <w:t>Source.cpp)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color w:val="000000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700" cy="255270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В С++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присутствуют основные операторы передачи управления, такие как, например,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ветвление(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if)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 счетный цикл(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for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У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словия передачи управления записываются в ( ) круглые скобки после операторов, а программные блоки, исполняемые в случае передачи управления, заключаются в фигурные скобки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{ }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LibreOffice/6.3.4.2$Windows_x86 LibreOffice_project/60da17e045e08f1793c57c00ba83cdfce946d0aa</Application>
  <Pages>3</Pages>
  <Words>234</Words>
  <Characters>1422</Characters>
  <CharactersWithSpaces>1606</CharactersWithSpaces>
  <Paragraphs>67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2020-02-09T17:40:30Z</dcterms:modified>
  <cp:revision>11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